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C6E53" w14:textId="77777777" w:rsidR="00EE4424" w:rsidRPr="002E2911" w:rsidRDefault="00780660">
      <w:pPr>
        <w:rPr>
          <w:rFonts w:ascii="Avenir Light" w:hAnsi="Avenir Light"/>
          <w:sz w:val="44"/>
        </w:rPr>
      </w:pPr>
      <w:r w:rsidRPr="002E2911">
        <w:rPr>
          <w:rFonts w:ascii="Avenir Light" w:hAnsi="Avenir Light"/>
          <w:sz w:val="44"/>
        </w:rPr>
        <w:t>Fast Track Impact Planning Template</w:t>
      </w:r>
    </w:p>
    <w:p w14:paraId="3701416A" w14:textId="77777777" w:rsidR="005E4903" w:rsidRPr="00EE4424" w:rsidRDefault="005E4903">
      <w:pPr>
        <w:rPr>
          <w:rFonts w:ascii="Arial" w:hAnsi="Arial"/>
          <w:sz w:val="28"/>
        </w:rPr>
      </w:pPr>
    </w:p>
    <w:tbl>
      <w:tblPr>
        <w:tblStyle w:val="TableGrid"/>
        <w:tblW w:w="15067" w:type="dxa"/>
        <w:tblInd w:w="-318" w:type="dxa"/>
        <w:tblLayout w:type="fixed"/>
        <w:tblLook w:val="04A0" w:firstRow="1" w:lastRow="0" w:firstColumn="1" w:lastColumn="0" w:noHBand="0" w:noVBand="1"/>
      </w:tblPr>
      <w:tblGrid>
        <w:gridCol w:w="1560"/>
        <w:gridCol w:w="1560"/>
        <w:gridCol w:w="1701"/>
        <w:gridCol w:w="2126"/>
        <w:gridCol w:w="1417"/>
        <w:gridCol w:w="1418"/>
        <w:gridCol w:w="1559"/>
        <w:gridCol w:w="1418"/>
        <w:gridCol w:w="1275"/>
        <w:gridCol w:w="1033"/>
      </w:tblGrid>
      <w:tr w:rsidR="00EE4424" w:rsidRPr="005E4903" w14:paraId="6A03A9DE" w14:textId="77777777" w:rsidTr="00FE3C45">
        <w:tc>
          <w:tcPr>
            <w:tcW w:w="1560" w:type="dxa"/>
          </w:tcPr>
          <w:p w14:paraId="4637627D" w14:textId="77777777" w:rsidR="00EE4424" w:rsidRPr="005E4903" w:rsidRDefault="00EE4424" w:rsidP="00EE4424">
            <w:pPr>
              <w:spacing w:after="0" w:line="240" w:lineRule="auto"/>
              <w:rPr>
                <w:rFonts w:ascii="Arial" w:eastAsia="ヒラギノ角ゴ Pro W3" w:hAnsi="Arial" w:cs="Arial"/>
                <w:b/>
                <w:bCs/>
                <w:sz w:val="16"/>
                <w:szCs w:val="16"/>
                <w:lang w:val="x-none" w:eastAsia="x-none"/>
              </w:rPr>
            </w:pPr>
            <w:r w:rsidRPr="005E4903">
              <w:rPr>
                <w:rFonts w:ascii="Arial" w:eastAsia="ヒラギノ角ゴ Pro W3" w:hAnsi="Arial" w:cs="Arial"/>
                <w:b/>
                <w:bCs/>
                <w:sz w:val="16"/>
                <w:szCs w:val="16"/>
                <w:lang w:val="x-none" w:eastAsia="x-none"/>
              </w:rPr>
              <w:t>Impact goal</w:t>
            </w:r>
          </w:p>
        </w:tc>
        <w:tc>
          <w:tcPr>
            <w:tcW w:w="1560" w:type="dxa"/>
          </w:tcPr>
          <w:p w14:paraId="55CA2D3A" w14:textId="77777777" w:rsidR="00EE4424" w:rsidRPr="005E4903" w:rsidRDefault="00EE4424" w:rsidP="00EE4424">
            <w:pPr>
              <w:spacing w:after="0" w:line="240" w:lineRule="auto"/>
              <w:rPr>
                <w:rFonts w:ascii="Arial" w:eastAsia="ヒラギノ角ゴ Pro W3" w:hAnsi="Arial" w:cs="Arial"/>
                <w:b/>
                <w:bCs/>
                <w:sz w:val="16"/>
                <w:szCs w:val="16"/>
                <w:lang w:val="x-none" w:eastAsia="x-none"/>
              </w:rPr>
            </w:pPr>
            <w:r w:rsidRPr="005E4903">
              <w:rPr>
                <w:rFonts w:ascii="Arial" w:eastAsia="ヒラギノ角ゴ Pro W3" w:hAnsi="Arial" w:cs="Arial"/>
                <w:b/>
                <w:bCs/>
                <w:sz w:val="16"/>
                <w:szCs w:val="16"/>
                <w:lang w:val="x-none" w:eastAsia="x-none"/>
              </w:rPr>
              <w:t>Target stakeholders or publics</w:t>
            </w:r>
          </w:p>
        </w:tc>
        <w:tc>
          <w:tcPr>
            <w:tcW w:w="1701" w:type="dxa"/>
          </w:tcPr>
          <w:p w14:paraId="4835DF6A" w14:textId="77777777" w:rsidR="00EE4424" w:rsidRPr="005E4903" w:rsidRDefault="00EE4424" w:rsidP="00EE4424">
            <w:pPr>
              <w:spacing w:after="0" w:line="240" w:lineRule="auto"/>
              <w:rPr>
                <w:rFonts w:ascii="Arial" w:eastAsia="ヒラギノ角ゴ Pro W3" w:hAnsi="Arial" w:cs="Arial"/>
                <w:b/>
                <w:bCs/>
                <w:sz w:val="16"/>
                <w:szCs w:val="16"/>
                <w:lang w:val="x-none" w:eastAsia="x-none"/>
              </w:rPr>
            </w:pPr>
            <w:r w:rsidRPr="005E4903">
              <w:rPr>
                <w:rFonts w:ascii="Arial" w:eastAsia="ヒラギノ角ゴ Pro W3" w:hAnsi="Arial" w:cs="Arial"/>
                <w:b/>
                <w:bCs/>
                <w:sz w:val="16"/>
                <w:szCs w:val="16"/>
                <w:lang w:val="x-none" w:eastAsia="x-none"/>
              </w:rPr>
              <w:t>Reasons for being interested in the project</w:t>
            </w:r>
          </w:p>
        </w:tc>
        <w:tc>
          <w:tcPr>
            <w:tcW w:w="2126" w:type="dxa"/>
          </w:tcPr>
          <w:p w14:paraId="55C8BB13" w14:textId="77777777" w:rsidR="00EE4424" w:rsidRPr="005E4903" w:rsidRDefault="00EE4424" w:rsidP="00EE4424">
            <w:pPr>
              <w:spacing w:after="0" w:line="240" w:lineRule="auto"/>
              <w:rPr>
                <w:rFonts w:ascii="Arial" w:eastAsia="ヒラギノ角ゴ Pro W3" w:hAnsi="Arial" w:cs="Arial"/>
                <w:b/>
                <w:bCs/>
                <w:sz w:val="16"/>
                <w:szCs w:val="16"/>
                <w:lang w:val="x-none" w:eastAsia="x-none"/>
              </w:rPr>
            </w:pPr>
            <w:r w:rsidRPr="005E4903">
              <w:rPr>
                <w:rFonts w:ascii="Arial" w:eastAsia="ヒラギノ角ゴ Pro W3" w:hAnsi="Arial" w:cs="Arial"/>
                <w:b/>
                <w:bCs/>
                <w:sz w:val="16"/>
                <w:szCs w:val="16"/>
                <w:lang w:val="x-none" w:eastAsia="x-none"/>
              </w:rPr>
              <w:t>Activities to engage this target group</w:t>
            </w:r>
          </w:p>
        </w:tc>
        <w:tc>
          <w:tcPr>
            <w:tcW w:w="1417" w:type="dxa"/>
          </w:tcPr>
          <w:p w14:paraId="10BDB261" w14:textId="77777777" w:rsidR="00EE4424" w:rsidRPr="005E4903" w:rsidRDefault="00EE4424" w:rsidP="005E4903">
            <w:pPr>
              <w:spacing w:after="0" w:line="240" w:lineRule="auto"/>
              <w:rPr>
                <w:rFonts w:ascii="Arial" w:eastAsia="ヒラギノ角ゴ Pro W3" w:hAnsi="Arial" w:cs="Arial"/>
                <w:b/>
                <w:bCs/>
                <w:sz w:val="16"/>
                <w:szCs w:val="16"/>
                <w:lang w:val="x-none" w:eastAsia="x-none"/>
              </w:rPr>
            </w:pPr>
            <w:r w:rsidRPr="005E4903">
              <w:rPr>
                <w:rFonts w:ascii="Arial" w:eastAsia="ヒラギノ角ゴ Pro W3" w:hAnsi="Arial" w:cs="Arial"/>
                <w:b/>
                <w:bCs/>
                <w:sz w:val="16"/>
                <w:szCs w:val="16"/>
                <w:lang w:val="x-none" w:eastAsia="x-none"/>
              </w:rPr>
              <w:t xml:space="preserve">Indicators of successful engagement </w:t>
            </w:r>
            <w:r w:rsidR="005E4903" w:rsidRPr="005E4903">
              <w:rPr>
                <w:rFonts w:ascii="Arial" w:eastAsia="ヒラギノ角ゴ Pro W3" w:hAnsi="Arial" w:cs="Arial"/>
                <w:b/>
                <w:bCs/>
                <w:sz w:val="16"/>
                <w:szCs w:val="16"/>
                <w:lang w:val="x-none" w:eastAsia="x-none"/>
              </w:rPr>
              <w:t>[</w:t>
            </w:r>
            <w:r w:rsidRPr="005E4903">
              <w:rPr>
                <w:rFonts w:ascii="Arial" w:eastAsia="ヒラギノ角ゴ Pro W3" w:hAnsi="Arial" w:cs="Arial"/>
                <w:b/>
                <w:bCs/>
                <w:sz w:val="16"/>
                <w:szCs w:val="16"/>
                <w:lang w:val="x-none" w:eastAsia="x-none"/>
              </w:rPr>
              <w:t>and means of measurement</w:t>
            </w:r>
            <w:r w:rsidR="005E4903" w:rsidRPr="005E4903">
              <w:rPr>
                <w:rFonts w:ascii="Arial" w:eastAsia="ヒラギノ角ゴ Pro W3" w:hAnsi="Arial" w:cs="Arial"/>
                <w:b/>
                <w:bCs/>
                <w:sz w:val="16"/>
                <w:szCs w:val="16"/>
                <w:lang w:val="x-none" w:eastAsia="x-none"/>
              </w:rPr>
              <w:t>]</w:t>
            </w:r>
          </w:p>
        </w:tc>
        <w:tc>
          <w:tcPr>
            <w:tcW w:w="1418" w:type="dxa"/>
          </w:tcPr>
          <w:p w14:paraId="5870EAFC" w14:textId="77777777" w:rsidR="00EE4424" w:rsidRPr="005E4903" w:rsidRDefault="00EE4424" w:rsidP="005E4903">
            <w:pPr>
              <w:spacing w:after="0" w:line="240" w:lineRule="auto"/>
              <w:rPr>
                <w:rFonts w:ascii="Arial" w:eastAsia="ヒラギノ角ゴ Pro W3" w:hAnsi="Arial" w:cs="Arial"/>
                <w:b/>
                <w:bCs/>
                <w:sz w:val="16"/>
                <w:szCs w:val="16"/>
                <w:lang w:val="x-none" w:eastAsia="x-none"/>
              </w:rPr>
            </w:pPr>
            <w:r w:rsidRPr="005E4903">
              <w:rPr>
                <w:rFonts w:ascii="Arial" w:eastAsia="ヒラギノ角ゴ Pro W3" w:hAnsi="Arial" w:cs="Arial"/>
                <w:b/>
                <w:bCs/>
                <w:sz w:val="16"/>
                <w:szCs w:val="16"/>
                <w:lang w:val="x-none" w:eastAsia="x-none"/>
              </w:rPr>
              <w:t xml:space="preserve">Indicators of progress towards impact </w:t>
            </w:r>
            <w:r w:rsidR="005E4903" w:rsidRPr="005E4903">
              <w:rPr>
                <w:rFonts w:ascii="Arial" w:eastAsia="ヒラギノ角ゴ Pro W3" w:hAnsi="Arial" w:cs="Arial"/>
                <w:b/>
                <w:bCs/>
                <w:sz w:val="16"/>
                <w:szCs w:val="16"/>
                <w:lang w:val="x-none" w:eastAsia="x-none"/>
              </w:rPr>
              <w:t>[</w:t>
            </w:r>
            <w:r w:rsidRPr="005E4903">
              <w:rPr>
                <w:rFonts w:ascii="Arial" w:eastAsia="ヒラギノ角ゴ Pro W3" w:hAnsi="Arial" w:cs="Arial"/>
                <w:b/>
                <w:bCs/>
                <w:sz w:val="16"/>
                <w:szCs w:val="16"/>
                <w:lang w:val="x-none" w:eastAsia="x-none"/>
              </w:rPr>
              <w:t>means of measurement</w:t>
            </w:r>
            <w:r w:rsidR="005E4903" w:rsidRPr="005E4903">
              <w:rPr>
                <w:rFonts w:ascii="Arial" w:eastAsia="ヒラギノ角ゴ Pro W3" w:hAnsi="Arial" w:cs="Arial"/>
                <w:b/>
                <w:bCs/>
                <w:sz w:val="16"/>
                <w:szCs w:val="16"/>
                <w:lang w:val="x-none" w:eastAsia="x-none"/>
              </w:rPr>
              <w:t>]</w:t>
            </w:r>
          </w:p>
        </w:tc>
        <w:tc>
          <w:tcPr>
            <w:tcW w:w="1559" w:type="dxa"/>
          </w:tcPr>
          <w:p w14:paraId="7EF3A4C7" w14:textId="77777777" w:rsidR="00EE4424" w:rsidRPr="005E4903" w:rsidRDefault="005E4903" w:rsidP="00EE4424">
            <w:pPr>
              <w:spacing w:after="0" w:line="240" w:lineRule="auto"/>
              <w:rPr>
                <w:rFonts w:ascii="Arial" w:eastAsia="ヒラギノ角ゴ Pro W3" w:hAnsi="Arial" w:cs="Arial"/>
                <w:b/>
                <w:bCs/>
                <w:sz w:val="16"/>
                <w:szCs w:val="16"/>
                <w:lang w:val="x-none" w:eastAsia="x-none"/>
              </w:rPr>
            </w:pPr>
            <w:r w:rsidRPr="005E4903">
              <w:rPr>
                <w:rFonts w:ascii="Arial" w:hAnsi="Arial"/>
                <w:b/>
                <w:sz w:val="16"/>
                <w:szCs w:val="16"/>
              </w:rPr>
              <w:t>Risks to activities [and mitigation]</w:t>
            </w:r>
          </w:p>
        </w:tc>
        <w:tc>
          <w:tcPr>
            <w:tcW w:w="1418" w:type="dxa"/>
          </w:tcPr>
          <w:p w14:paraId="64056153" w14:textId="77777777" w:rsidR="00EE4424" w:rsidRPr="005E4903" w:rsidRDefault="005E4903" w:rsidP="005E4903">
            <w:pPr>
              <w:spacing w:after="0" w:line="240" w:lineRule="auto"/>
              <w:rPr>
                <w:rFonts w:ascii="Arial" w:eastAsia="ヒラギノ角ゴ Pro W3" w:hAnsi="Arial" w:cs="Arial"/>
                <w:b/>
                <w:bCs/>
                <w:sz w:val="16"/>
                <w:szCs w:val="16"/>
                <w:lang w:val="x-none" w:eastAsia="x-none"/>
              </w:rPr>
            </w:pPr>
            <w:r w:rsidRPr="005E4903">
              <w:rPr>
                <w:rFonts w:ascii="Arial" w:hAnsi="Arial"/>
                <w:b/>
                <w:sz w:val="16"/>
                <w:szCs w:val="16"/>
              </w:rPr>
              <w:t>Risks to impact [and mitigation]</w:t>
            </w:r>
          </w:p>
        </w:tc>
        <w:tc>
          <w:tcPr>
            <w:tcW w:w="1275" w:type="dxa"/>
          </w:tcPr>
          <w:p w14:paraId="3D7390E2" w14:textId="77777777" w:rsidR="00EE4424" w:rsidRPr="005E4903" w:rsidRDefault="00EE4424" w:rsidP="00EE4424">
            <w:pPr>
              <w:spacing w:after="0" w:line="240" w:lineRule="auto"/>
              <w:rPr>
                <w:rFonts w:ascii="Arial" w:eastAsia="ヒラギノ角ゴ Pro W3" w:hAnsi="Arial" w:cs="Arial"/>
                <w:b/>
                <w:bCs/>
                <w:sz w:val="16"/>
                <w:szCs w:val="16"/>
                <w:lang w:val="x-none" w:eastAsia="x-none"/>
              </w:rPr>
            </w:pPr>
            <w:r w:rsidRPr="005E4903">
              <w:rPr>
                <w:rFonts w:ascii="Arial" w:eastAsia="ヒラギノ角ゴ Pro W3" w:hAnsi="Arial" w:cs="Arial"/>
                <w:b/>
                <w:bCs/>
                <w:sz w:val="16"/>
                <w:szCs w:val="16"/>
                <w:lang w:val="x-none" w:eastAsia="x-none"/>
              </w:rPr>
              <w:t>Who is responsible and what resources are needed?</w:t>
            </w:r>
          </w:p>
        </w:tc>
        <w:tc>
          <w:tcPr>
            <w:tcW w:w="1033" w:type="dxa"/>
          </w:tcPr>
          <w:p w14:paraId="1589FEE1" w14:textId="77777777" w:rsidR="00EE4424" w:rsidRPr="005E4903" w:rsidRDefault="00EE4424" w:rsidP="00EE4424">
            <w:pPr>
              <w:spacing w:after="0" w:line="240" w:lineRule="auto"/>
              <w:rPr>
                <w:rFonts w:ascii="Arial" w:eastAsia="ヒラギノ角ゴ Pro W3" w:hAnsi="Arial" w:cs="Arial"/>
                <w:b/>
                <w:bCs/>
                <w:sz w:val="16"/>
                <w:szCs w:val="16"/>
                <w:lang w:val="x-none" w:eastAsia="x-none"/>
              </w:rPr>
            </w:pPr>
            <w:r w:rsidRPr="005E4903">
              <w:rPr>
                <w:rFonts w:ascii="Arial" w:eastAsia="ヒラギノ角ゴ Pro W3" w:hAnsi="Arial" w:cs="Arial"/>
                <w:b/>
                <w:bCs/>
                <w:sz w:val="16"/>
                <w:szCs w:val="16"/>
                <w:lang w:val="x-none" w:eastAsia="x-none"/>
              </w:rPr>
              <w:t>Timing</w:t>
            </w:r>
          </w:p>
        </w:tc>
      </w:tr>
      <w:tr w:rsidR="00EE4424" w:rsidRPr="00EE4424" w14:paraId="4492E59F" w14:textId="77777777" w:rsidTr="00FE3C45">
        <w:tc>
          <w:tcPr>
            <w:tcW w:w="1560" w:type="dxa"/>
          </w:tcPr>
          <w:p w14:paraId="2998A954" w14:textId="77777777" w:rsidR="00EE4424" w:rsidRDefault="00EE4424" w:rsidP="00EE4424">
            <w:pPr>
              <w:spacing w:after="0" w:line="240" w:lineRule="auto"/>
              <w:rPr>
                <w:rFonts w:ascii="Arial" w:eastAsia="ヒラギノ角ゴ Pro W3" w:hAnsi="Arial" w:cs="Arial"/>
                <w:b/>
                <w:bCs/>
                <w:sz w:val="18"/>
                <w:lang w:val="x-none" w:eastAsia="x-none"/>
              </w:rPr>
            </w:pPr>
          </w:p>
          <w:p w14:paraId="60A4C2C5" w14:textId="77777777" w:rsidR="00EE4424" w:rsidRDefault="00EE4424" w:rsidP="00EE4424">
            <w:pPr>
              <w:spacing w:after="0" w:line="240" w:lineRule="auto"/>
              <w:rPr>
                <w:rFonts w:ascii="Arial" w:eastAsia="ヒラギノ角ゴ Pro W3" w:hAnsi="Arial" w:cs="Arial"/>
                <w:b/>
                <w:bCs/>
                <w:sz w:val="18"/>
                <w:lang w:val="x-none" w:eastAsia="x-none"/>
              </w:rPr>
            </w:pPr>
          </w:p>
          <w:p w14:paraId="2BD0F5CE" w14:textId="77777777" w:rsidR="00FE3C45" w:rsidRDefault="00FE3C45" w:rsidP="00EE4424">
            <w:pPr>
              <w:spacing w:after="0" w:line="240" w:lineRule="auto"/>
              <w:rPr>
                <w:rFonts w:ascii="Arial" w:eastAsia="ヒラギノ角ゴ Pro W3" w:hAnsi="Arial" w:cs="Arial"/>
                <w:b/>
                <w:bCs/>
                <w:sz w:val="18"/>
                <w:lang w:val="x-none" w:eastAsia="x-none"/>
              </w:rPr>
            </w:pPr>
          </w:p>
          <w:p w14:paraId="0A72AB71" w14:textId="77777777" w:rsidR="00EE4424" w:rsidRDefault="00EE4424" w:rsidP="00EE4424">
            <w:pPr>
              <w:spacing w:after="0" w:line="240" w:lineRule="auto"/>
              <w:rPr>
                <w:rFonts w:ascii="Arial" w:eastAsia="ヒラギノ角ゴ Pro W3" w:hAnsi="Arial" w:cs="Arial"/>
                <w:b/>
                <w:bCs/>
                <w:sz w:val="18"/>
                <w:lang w:val="x-none" w:eastAsia="x-none"/>
              </w:rPr>
            </w:pPr>
          </w:p>
          <w:p w14:paraId="6C27CC17" w14:textId="77777777" w:rsidR="00EE4424" w:rsidRDefault="00EE4424" w:rsidP="00EE4424">
            <w:pPr>
              <w:spacing w:after="0" w:line="240" w:lineRule="auto"/>
              <w:rPr>
                <w:rFonts w:ascii="Arial" w:eastAsia="ヒラギノ角ゴ Pro W3" w:hAnsi="Arial" w:cs="Arial"/>
                <w:b/>
                <w:bCs/>
                <w:sz w:val="18"/>
                <w:lang w:val="x-none" w:eastAsia="x-none"/>
              </w:rPr>
            </w:pPr>
          </w:p>
          <w:p w14:paraId="4DCD777B"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560" w:type="dxa"/>
          </w:tcPr>
          <w:p w14:paraId="5E6D7D87"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701" w:type="dxa"/>
          </w:tcPr>
          <w:p w14:paraId="297587B3"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2126" w:type="dxa"/>
          </w:tcPr>
          <w:p w14:paraId="1CE3A7D6"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417" w:type="dxa"/>
          </w:tcPr>
          <w:p w14:paraId="64AA6CFE"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418" w:type="dxa"/>
          </w:tcPr>
          <w:p w14:paraId="79244B93"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559" w:type="dxa"/>
          </w:tcPr>
          <w:p w14:paraId="0074378C"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418" w:type="dxa"/>
          </w:tcPr>
          <w:p w14:paraId="0583B421"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275" w:type="dxa"/>
          </w:tcPr>
          <w:p w14:paraId="28A2074B" w14:textId="77777777" w:rsidR="00EE4424" w:rsidRDefault="00EE4424" w:rsidP="00EE4424">
            <w:pPr>
              <w:spacing w:after="0" w:line="240" w:lineRule="auto"/>
              <w:rPr>
                <w:rFonts w:ascii="Arial" w:eastAsia="ヒラギノ角ゴ Pro W3" w:hAnsi="Arial" w:cs="Arial"/>
                <w:b/>
                <w:bCs/>
                <w:sz w:val="18"/>
                <w:lang w:val="x-none" w:eastAsia="x-none"/>
              </w:rPr>
            </w:pPr>
          </w:p>
        </w:tc>
        <w:tc>
          <w:tcPr>
            <w:tcW w:w="1033" w:type="dxa"/>
          </w:tcPr>
          <w:p w14:paraId="6AFE9B26"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r>
      <w:tr w:rsidR="00EE4424" w:rsidRPr="00EE4424" w14:paraId="6F2C077A" w14:textId="77777777" w:rsidTr="00FE3C45">
        <w:tc>
          <w:tcPr>
            <w:tcW w:w="1560" w:type="dxa"/>
          </w:tcPr>
          <w:p w14:paraId="527FDAB4" w14:textId="77777777" w:rsidR="00EE4424" w:rsidRDefault="00EE4424" w:rsidP="00EE4424">
            <w:pPr>
              <w:spacing w:after="0" w:line="240" w:lineRule="auto"/>
              <w:rPr>
                <w:rFonts w:ascii="Arial" w:eastAsia="ヒラギノ角ゴ Pro W3" w:hAnsi="Arial" w:cs="Arial"/>
                <w:b/>
                <w:bCs/>
                <w:sz w:val="18"/>
                <w:lang w:val="x-none" w:eastAsia="x-none"/>
              </w:rPr>
            </w:pPr>
          </w:p>
          <w:p w14:paraId="0DF61258" w14:textId="77777777" w:rsidR="00EE4424" w:rsidRDefault="00EE4424" w:rsidP="00EE4424">
            <w:pPr>
              <w:spacing w:after="0" w:line="240" w:lineRule="auto"/>
              <w:rPr>
                <w:rFonts w:ascii="Arial" w:eastAsia="ヒラギノ角ゴ Pro W3" w:hAnsi="Arial" w:cs="Arial"/>
                <w:b/>
                <w:bCs/>
                <w:sz w:val="18"/>
                <w:lang w:val="x-none" w:eastAsia="x-none"/>
              </w:rPr>
            </w:pPr>
          </w:p>
          <w:p w14:paraId="342A8379" w14:textId="77777777" w:rsidR="00EE4424" w:rsidRDefault="00EE4424" w:rsidP="00EE4424">
            <w:pPr>
              <w:spacing w:after="0" w:line="240" w:lineRule="auto"/>
              <w:rPr>
                <w:rFonts w:ascii="Arial" w:eastAsia="ヒラギノ角ゴ Pro W3" w:hAnsi="Arial" w:cs="Arial"/>
                <w:b/>
                <w:bCs/>
                <w:sz w:val="18"/>
                <w:lang w:val="x-none" w:eastAsia="x-none"/>
              </w:rPr>
            </w:pPr>
          </w:p>
          <w:p w14:paraId="5E029A10" w14:textId="77777777" w:rsidR="00FE3C45" w:rsidRDefault="00FE3C45" w:rsidP="00EE4424">
            <w:pPr>
              <w:spacing w:after="0" w:line="240" w:lineRule="auto"/>
              <w:rPr>
                <w:rFonts w:ascii="Arial" w:eastAsia="ヒラギノ角ゴ Pro W3" w:hAnsi="Arial" w:cs="Arial"/>
                <w:b/>
                <w:bCs/>
                <w:sz w:val="18"/>
                <w:lang w:val="x-none" w:eastAsia="x-none"/>
              </w:rPr>
            </w:pPr>
          </w:p>
          <w:p w14:paraId="24DD413D" w14:textId="77777777" w:rsidR="00FE3C45" w:rsidRDefault="00FE3C45" w:rsidP="00EE4424">
            <w:pPr>
              <w:spacing w:after="0" w:line="240" w:lineRule="auto"/>
              <w:rPr>
                <w:rFonts w:ascii="Arial" w:eastAsia="ヒラギノ角ゴ Pro W3" w:hAnsi="Arial" w:cs="Arial"/>
                <w:b/>
                <w:bCs/>
                <w:sz w:val="18"/>
                <w:lang w:val="x-none" w:eastAsia="x-none"/>
              </w:rPr>
            </w:pPr>
          </w:p>
          <w:p w14:paraId="571C8A70" w14:textId="77777777" w:rsidR="00FE3C45" w:rsidRDefault="00FE3C45" w:rsidP="00EE4424">
            <w:pPr>
              <w:spacing w:after="0" w:line="240" w:lineRule="auto"/>
              <w:rPr>
                <w:rFonts w:ascii="Arial" w:eastAsia="ヒラギノ角ゴ Pro W3" w:hAnsi="Arial" w:cs="Arial"/>
                <w:b/>
                <w:bCs/>
                <w:sz w:val="18"/>
                <w:lang w:val="x-none" w:eastAsia="x-none"/>
              </w:rPr>
            </w:pPr>
          </w:p>
        </w:tc>
        <w:tc>
          <w:tcPr>
            <w:tcW w:w="1560" w:type="dxa"/>
          </w:tcPr>
          <w:p w14:paraId="7CF7DD40"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701" w:type="dxa"/>
          </w:tcPr>
          <w:p w14:paraId="4BEFD609"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2126" w:type="dxa"/>
          </w:tcPr>
          <w:p w14:paraId="4AF305CA"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417" w:type="dxa"/>
          </w:tcPr>
          <w:p w14:paraId="6831ED26"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418" w:type="dxa"/>
          </w:tcPr>
          <w:p w14:paraId="5E63B1AE"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559" w:type="dxa"/>
          </w:tcPr>
          <w:p w14:paraId="31A4491D" w14:textId="77777777" w:rsidR="00EE4424" w:rsidRPr="00EE4424" w:rsidRDefault="002E2911" w:rsidP="00EE4424">
            <w:pPr>
              <w:spacing w:after="0" w:line="240" w:lineRule="auto"/>
              <w:rPr>
                <w:rFonts w:ascii="Arial" w:eastAsia="ヒラギノ角ゴ Pro W3" w:hAnsi="Arial" w:cs="Arial"/>
                <w:b/>
                <w:bCs/>
                <w:sz w:val="18"/>
                <w:lang w:val="x-none" w:eastAsia="x-none"/>
              </w:rPr>
            </w:pPr>
            <w:r>
              <w:rPr>
                <w:rFonts w:ascii="Arial" w:hAnsi="Arial"/>
                <w:noProof/>
                <w:sz w:val="28"/>
                <w:lang w:val="en-US"/>
              </w:rPr>
              <w:drawing>
                <wp:anchor distT="0" distB="0" distL="114300" distR="114300" simplePos="0" relativeHeight="251658240" behindDoc="1" locked="0" layoutInCell="1" allowOverlap="1" wp14:anchorId="280D7FE3" wp14:editId="28EFE189">
                  <wp:simplePos x="0" y="0"/>
                  <wp:positionH relativeFrom="column">
                    <wp:posOffset>509058</wp:posOffset>
                  </wp:positionH>
                  <wp:positionV relativeFrom="paragraph">
                    <wp:posOffset>92710</wp:posOffset>
                  </wp:positionV>
                  <wp:extent cx="4047490" cy="43713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only.png"/>
                          <pic:cNvPicPr/>
                        </pic:nvPicPr>
                        <pic:blipFill>
                          <a:blip r:embed="rId6">
                            <a:lum bright="70000" contrast="-70000"/>
                            <a:extLst>
                              <a:ext uri="{28A0092B-C50C-407E-A947-70E740481C1C}">
                                <a14:useLocalDpi xmlns:a14="http://schemas.microsoft.com/office/drawing/2010/main" val="0"/>
                              </a:ext>
                            </a:extLst>
                          </a:blip>
                          <a:stretch>
                            <a:fillRect/>
                          </a:stretch>
                        </pic:blipFill>
                        <pic:spPr>
                          <a:xfrm>
                            <a:off x="0" y="0"/>
                            <a:ext cx="4047490" cy="4371340"/>
                          </a:xfrm>
                          <a:prstGeom prst="rect">
                            <a:avLst/>
                          </a:prstGeom>
                        </pic:spPr>
                      </pic:pic>
                    </a:graphicData>
                  </a:graphic>
                  <wp14:sizeRelH relativeFrom="page">
                    <wp14:pctWidth>0</wp14:pctWidth>
                  </wp14:sizeRelH>
                  <wp14:sizeRelV relativeFrom="page">
                    <wp14:pctHeight>0</wp14:pctHeight>
                  </wp14:sizeRelV>
                </wp:anchor>
              </w:drawing>
            </w:r>
          </w:p>
        </w:tc>
        <w:tc>
          <w:tcPr>
            <w:tcW w:w="1418" w:type="dxa"/>
          </w:tcPr>
          <w:p w14:paraId="06959C67"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275" w:type="dxa"/>
          </w:tcPr>
          <w:p w14:paraId="349DDE1B" w14:textId="77777777" w:rsidR="00EE4424" w:rsidRDefault="00EE4424" w:rsidP="00EE4424">
            <w:pPr>
              <w:spacing w:after="0" w:line="240" w:lineRule="auto"/>
              <w:rPr>
                <w:rFonts w:ascii="Arial" w:eastAsia="ヒラギノ角ゴ Pro W3" w:hAnsi="Arial" w:cs="Arial"/>
                <w:b/>
                <w:bCs/>
                <w:sz w:val="18"/>
                <w:lang w:val="x-none" w:eastAsia="x-none"/>
              </w:rPr>
            </w:pPr>
          </w:p>
        </w:tc>
        <w:tc>
          <w:tcPr>
            <w:tcW w:w="1033" w:type="dxa"/>
          </w:tcPr>
          <w:p w14:paraId="275E7E9D"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r>
      <w:tr w:rsidR="00EE4424" w:rsidRPr="00EE4424" w14:paraId="04A18C35" w14:textId="77777777" w:rsidTr="00FE3C45">
        <w:tc>
          <w:tcPr>
            <w:tcW w:w="1560" w:type="dxa"/>
          </w:tcPr>
          <w:p w14:paraId="0727C73D" w14:textId="77777777" w:rsidR="00EE4424" w:rsidRDefault="00EE4424" w:rsidP="00EE4424">
            <w:pPr>
              <w:spacing w:after="0" w:line="240" w:lineRule="auto"/>
              <w:rPr>
                <w:rFonts w:ascii="Arial" w:eastAsia="ヒラギノ角ゴ Pro W3" w:hAnsi="Arial" w:cs="Arial"/>
                <w:b/>
                <w:bCs/>
                <w:sz w:val="18"/>
                <w:lang w:val="x-none" w:eastAsia="x-none"/>
              </w:rPr>
            </w:pPr>
          </w:p>
          <w:p w14:paraId="1C1322A3" w14:textId="77777777" w:rsidR="00EE4424" w:rsidRDefault="00EE4424" w:rsidP="00EE4424">
            <w:pPr>
              <w:spacing w:after="0" w:line="240" w:lineRule="auto"/>
              <w:rPr>
                <w:rFonts w:ascii="Arial" w:eastAsia="ヒラギノ角ゴ Pro W3" w:hAnsi="Arial" w:cs="Arial"/>
                <w:b/>
                <w:bCs/>
                <w:sz w:val="18"/>
                <w:lang w:val="x-none" w:eastAsia="x-none"/>
              </w:rPr>
            </w:pPr>
          </w:p>
          <w:p w14:paraId="252498E3" w14:textId="77777777" w:rsidR="00EE4424" w:rsidRDefault="00EE4424" w:rsidP="00EE4424">
            <w:pPr>
              <w:spacing w:after="0" w:line="240" w:lineRule="auto"/>
              <w:rPr>
                <w:rFonts w:ascii="Arial" w:eastAsia="ヒラギノ角ゴ Pro W3" w:hAnsi="Arial" w:cs="Arial"/>
                <w:b/>
                <w:bCs/>
                <w:sz w:val="18"/>
                <w:lang w:val="x-none" w:eastAsia="x-none"/>
              </w:rPr>
            </w:pPr>
          </w:p>
          <w:p w14:paraId="080A15DC" w14:textId="77777777" w:rsidR="00EE4424" w:rsidRDefault="00EE4424" w:rsidP="00EE4424">
            <w:pPr>
              <w:spacing w:after="0" w:line="240" w:lineRule="auto"/>
              <w:rPr>
                <w:rFonts w:ascii="Arial" w:eastAsia="ヒラギノ角ゴ Pro W3" w:hAnsi="Arial" w:cs="Arial"/>
                <w:b/>
                <w:bCs/>
                <w:sz w:val="18"/>
                <w:lang w:val="x-none" w:eastAsia="x-none"/>
              </w:rPr>
            </w:pPr>
          </w:p>
          <w:p w14:paraId="05F540CA" w14:textId="77777777" w:rsidR="00EE4424" w:rsidRDefault="00EE4424" w:rsidP="00EE4424">
            <w:pPr>
              <w:spacing w:after="0" w:line="240" w:lineRule="auto"/>
              <w:rPr>
                <w:rFonts w:ascii="Arial" w:eastAsia="ヒラギノ角ゴ Pro W3" w:hAnsi="Arial" w:cs="Arial"/>
                <w:b/>
                <w:bCs/>
                <w:sz w:val="18"/>
                <w:lang w:val="x-none" w:eastAsia="x-none"/>
              </w:rPr>
            </w:pPr>
          </w:p>
          <w:p w14:paraId="2CC32AC6" w14:textId="77777777" w:rsidR="00EE4424" w:rsidRDefault="00EE4424" w:rsidP="00EE4424">
            <w:pPr>
              <w:spacing w:after="0" w:line="240" w:lineRule="auto"/>
              <w:rPr>
                <w:rFonts w:ascii="Arial" w:eastAsia="ヒラギノ角ゴ Pro W3" w:hAnsi="Arial" w:cs="Arial"/>
                <w:b/>
                <w:bCs/>
                <w:sz w:val="18"/>
                <w:lang w:val="x-none" w:eastAsia="x-none"/>
              </w:rPr>
            </w:pPr>
          </w:p>
        </w:tc>
        <w:tc>
          <w:tcPr>
            <w:tcW w:w="1560" w:type="dxa"/>
          </w:tcPr>
          <w:p w14:paraId="564CB9E8"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701" w:type="dxa"/>
          </w:tcPr>
          <w:p w14:paraId="5884DA2A" w14:textId="77777777" w:rsidR="00EE4424" w:rsidRPr="00EE4424" w:rsidRDefault="00EE4424" w:rsidP="00EE4424">
            <w:pPr>
              <w:spacing w:after="0" w:line="240" w:lineRule="auto"/>
              <w:rPr>
                <w:rFonts w:ascii="Arial" w:eastAsia="ヒラギノ角ゴ Pro W3" w:hAnsi="Arial" w:cs="Arial"/>
                <w:b/>
                <w:bCs/>
                <w:sz w:val="18"/>
                <w:lang w:val="x-none" w:eastAsia="x-none"/>
              </w:rPr>
            </w:pPr>
            <w:bookmarkStart w:id="0" w:name="_GoBack"/>
            <w:bookmarkEnd w:id="0"/>
          </w:p>
        </w:tc>
        <w:tc>
          <w:tcPr>
            <w:tcW w:w="2126" w:type="dxa"/>
          </w:tcPr>
          <w:p w14:paraId="7BB251C6"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417" w:type="dxa"/>
          </w:tcPr>
          <w:p w14:paraId="02F814F1"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418" w:type="dxa"/>
          </w:tcPr>
          <w:p w14:paraId="02480658"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559" w:type="dxa"/>
          </w:tcPr>
          <w:p w14:paraId="20281891"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418" w:type="dxa"/>
          </w:tcPr>
          <w:p w14:paraId="3D433ECC"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c>
          <w:tcPr>
            <w:tcW w:w="1275" w:type="dxa"/>
          </w:tcPr>
          <w:p w14:paraId="57CCFF49" w14:textId="77777777" w:rsidR="00EE4424" w:rsidRDefault="00EE4424" w:rsidP="00EE4424">
            <w:pPr>
              <w:spacing w:after="0" w:line="240" w:lineRule="auto"/>
              <w:rPr>
                <w:rFonts w:ascii="Arial" w:eastAsia="ヒラギノ角ゴ Pro W3" w:hAnsi="Arial" w:cs="Arial"/>
                <w:b/>
                <w:bCs/>
                <w:sz w:val="18"/>
                <w:lang w:val="x-none" w:eastAsia="x-none"/>
              </w:rPr>
            </w:pPr>
          </w:p>
        </w:tc>
        <w:tc>
          <w:tcPr>
            <w:tcW w:w="1033" w:type="dxa"/>
          </w:tcPr>
          <w:p w14:paraId="6E6A71ED" w14:textId="77777777" w:rsidR="00EE4424" w:rsidRPr="00EE4424" w:rsidRDefault="00EE4424" w:rsidP="00EE4424">
            <w:pPr>
              <w:spacing w:after="0" w:line="240" w:lineRule="auto"/>
              <w:rPr>
                <w:rFonts w:ascii="Arial" w:eastAsia="ヒラギノ角ゴ Pro W3" w:hAnsi="Arial" w:cs="Arial"/>
                <w:b/>
                <w:bCs/>
                <w:sz w:val="18"/>
                <w:lang w:val="x-none" w:eastAsia="x-none"/>
              </w:rPr>
            </w:pPr>
          </w:p>
        </w:tc>
      </w:tr>
    </w:tbl>
    <w:p w14:paraId="448C9183" w14:textId="77777777" w:rsidR="007101C7" w:rsidRDefault="007101C7"/>
    <w:p w14:paraId="5FB73AA3" w14:textId="77777777" w:rsidR="005E4903" w:rsidRDefault="005E4903">
      <w:pPr>
        <w:spacing w:after="0" w:line="240" w:lineRule="auto"/>
      </w:pPr>
      <w:r>
        <w:br w:type="page"/>
      </w:r>
    </w:p>
    <w:p w14:paraId="13515636" w14:textId="77777777" w:rsidR="005E4903" w:rsidRPr="00FE3C45" w:rsidRDefault="005E4903">
      <w:pPr>
        <w:rPr>
          <w:rFonts w:ascii="Arial" w:hAnsi="Arial"/>
          <w:sz w:val="28"/>
          <w:szCs w:val="28"/>
        </w:rPr>
      </w:pPr>
      <w:r w:rsidRPr="005E4903">
        <w:rPr>
          <w:rFonts w:ascii="Arial" w:hAnsi="Arial"/>
          <w:sz w:val="28"/>
          <w:szCs w:val="28"/>
        </w:rPr>
        <w:lastRenderedPageBreak/>
        <w:t>Worked example</w:t>
      </w:r>
    </w:p>
    <w:tbl>
      <w:tblPr>
        <w:tblW w:w="15027" w:type="dxa"/>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20" w:firstRow="1" w:lastRow="0" w:firstColumn="0" w:lastColumn="0" w:noHBand="1" w:noVBand="1"/>
      </w:tblPr>
      <w:tblGrid>
        <w:gridCol w:w="1560"/>
        <w:gridCol w:w="1560"/>
        <w:gridCol w:w="1701"/>
        <w:gridCol w:w="2126"/>
        <w:gridCol w:w="1417"/>
        <w:gridCol w:w="1418"/>
        <w:gridCol w:w="1559"/>
        <w:gridCol w:w="1418"/>
        <w:gridCol w:w="1275"/>
        <w:gridCol w:w="993"/>
      </w:tblGrid>
      <w:tr w:rsidR="005E4903" w:rsidRPr="005E4903" w14:paraId="75204A51" w14:textId="77777777" w:rsidTr="00FE3C45">
        <w:trPr>
          <w:trHeight w:val="1011"/>
          <w:tblHeader/>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6504AC" w14:textId="77777777" w:rsidR="005E4903" w:rsidRPr="005E4903" w:rsidRDefault="005E4903" w:rsidP="005E4903">
            <w:pPr>
              <w:rPr>
                <w:rFonts w:ascii="Arial" w:hAnsi="Arial"/>
                <w:sz w:val="16"/>
                <w:szCs w:val="16"/>
              </w:rPr>
            </w:pPr>
            <w:r w:rsidRPr="005E4903">
              <w:rPr>
                <w:rFonts w:ascii="Arial" w:hAnsi="Arial"/>
                <w:b/>
                <w:sz w:val="16"/>
                <w:szCs w:val="16"/>
              </w:rPr>
              <w:t>Impact goal</w:t>
            </w:r>
          </w:p>
        </w:tc>
        <w:tc>
          <w:tcPr>
            <w:tcW w:w="156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711705" w14:textId="77777777" w:rsidR="005E4903" w:rsidRPr="005E4903" w:rsidRDefault="005E4903" w:rsidP="005E4903">
            <w:pPr>
              <w:rPr>
                <w:rFonts w:ascii="Arial" w:hAnsi="Arial"/>
                <w:sz w:val="16"/>
                <w:szCs w:val="16"/>
              </w:rPr>
            </w:pPr>
            <w:r w:rsidRPr="005E4903">
              <w:rPr>
                <w:rFonts w:ascii="Arial" w:eastAsia="ヒラギノ角ゴ Pro W3" w:hAnsi="Arial" w:cs="Arial"/>
                <w:b/>
                <w:bCs/>
                <w:sz w:val="16"/>
                <w:szCs w:val="16"/>
                <w:lang w:val="x-none" w:eastAsia="x-none"/>
              </w:rPr>
              <w:t>Target stakeholders or publics</w:t>
            </w:r>
          </w:p>
        </w:tc>
        <w:tc>
          <w:tcPr>
            <w:tcW w:w="1701"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8D012B" w14:textId="77777777" w:rsidR="005E4903" w:rsidRPr="005E4903" w:rsidRDefault="005E4903" w:rsidP="005E4903">
            <w:pPr>
              <w:rPr>
                <w:rFonts w:ascii="Arial" w:hAnsi="Arial"/>
                <w:sz w:val="16"/>
                <w:szCs w:val="16"/>
              </w:rPr>
            </w:pPr>
            <w:r w:rsidRPr="005E4903">
              <w:rPr>
                <w:rFonts w:ascii="Arial" w:eastAsia="ヒラギノ角ゴ Pro W3" w:hAnsi="Arial" w:cs="Arial"/>
                <w:b/>
                <w:bCs/>
                <w:sz w:val="16"/>
                <w:szCs w:val="16"/>
                <w:lang w:val="x-none" w:eastAsia="x-none"/>
              </w:rPr>
              <w:t>Reasons for being interested in the project</w:t>
            </w:r>
          </w:p>
        </w:tc>
        <w:tc>
          <w:tcPr>
            <w:tcW w:w="212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72AD1C" w14:textId="77777777" w:rsidR="005E4903" w:rsidRPr="005E4903" w:rsidRDefault="005E4903" w:rsidP="005E4903">
            <w:pPr>
              <w:rPr>
                <w:rFonts w:ascii="Arial" w:hAnsi="Arial"/>
                <w:sz w:val="16"/>
                <w:szCs w:val="16"/>
              </w:rPr>
            </w:pPr>
            <w:r w:rsidRPr="005E4903">
              <w:rPr>
                <w:rFonts w:ascii="Arial" w:eastAsia="ヒラギノ角ゴ Pro W3" w:hAnsi="Arial" w:cs="Arial"/>
                <w:b/>
                <w:bCs/>
                <w:sz w:val="16"/>
                <w:szCs w:val="16"/>
                <w:lang w:val="x-none" w:eastAsia="x-none"/>
              </w:rPr>
              <w:t>Activities to engage this target group</w:t>
            </w:r>
          </w:p>
        </w:tc>
        <w:tc>
          <w:tcPr>
            <w:tcW w:w="1417"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67C085" w14:textId="77777777" w:rsidR="005E4903" w:rsidRPr="005E4903" w:rsidRDefault="005E4903" w:rsidP="005E4903">
            <w:pPr>
              <w:rPr>
                <w:rFonts w:ascii="Arial" w:hAnsi="Arial"/>
                <w:sz w:val="16"/>
                <w:szCs w:val="16"/>
              </w:rPr>
            </w:pPr>
            <w:r w:rsidRPr="005E4903">
              <w:rPr>
                <w:rFonts w:ascii="Arial" w:eastAsia="ヒラギノ角ゴ Pro W3" w:hAnsi="Arial" w:cs="Arial"/>
                <w:b/>
                <w:bCs/>
                <w:sz w:val="16"/>
                <w:szCs w:val="16"/>
                <w:lang w:val="x-none" w:eastAsia="x-none"/>
              </w:rPr>
              <w:t>Indicators of successful engagement (and means of measurement)</w:t>
            </w:r>
          </w:p>
        </w:tc>
        <w:tc>
          <w:tcPr>
            <w:tcW w:w="141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5194BE" w14:textId="77777777" w:rsidR="005E4903" w:rsidRPr="005E4903" w:rsidRDefault="005E4903" w:rsidP="005E4903">
            <w:pPr>
              <w:rPr>
                <w:rFonts w:ascii="Arial" w:hAnsi="Arial"/>
                <w:sz w:val="16"/>
                <w:szCs w:val="16"/>
              </w:rPr>
            </w:pPr>
            <w:r w:rsidRPr="005E4903">
              <w:rPr>
                <w:rFonts w:ascii="Arial" w:eastAsia="ヒラギノ角ゴ Pro W3" w:hAnsi="Arial" w:cs="Arial"/>
                <w:b/>
                <w:bCs/>
                <w:sz w:val="16"/>
                <w:szCs w:val="16"/>
                <w:lang w:val="x-none" w:eastAsia="x-none"/>
              </w:rPr>
              <w:t>Indicators of progress towards impact (means of measurement)</w:t>
            </w:r>
          </w:p>
        </w:tc>
        <w:tc>
          <w:tcPr>
            <w:tcW w:w="155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C4227A" w14:textId="77777777" w:rsidR="005E4903" w:rsidRPr="005E4903" w:rsidRDefault="005E4903" w:rsidP="005E4903">
            <w:pPr>
              <w:rPr>
                <w:rFonts w:ascii="Arial" w:hAnsi="Arial"/>
                <w:sz w:val="16"/>
                <w:szCs w:val="16"/>
              </w:rPr>
            </w:pPr>
            <w:r w:rsidRPr="005E4903">
              <w:rPr>
                <w:rFonts w:ascii="Arial" w:hAnsi="Arial"/>
                <w:b/>
                <w:sz w:val="16"/>
                <w:szCs w:val="16"/>
              </w:rPr>
              <w:t>Risks to activities [and mitigation]</w:t>
            </w:r>
          </w:p>
        </w:tc>
        <w:tc>
          <w:tcPr>
            <w:tcW w:w="141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6B79E9" w14:textId="77777777" w:rsidR="005E4903" w:rsidRPr="005E4903" w:rsidRDefault="005E4903" w:rsidP="005E4903">
            <w:pPr>
              <w:rPr>
                <w:rFonts w:ascii="Arial" w:hAnsi="Arial"/>
                <w:sz w:val="16"/>
                <w:szCs w:val="16"/>
              </w:rPr>
            </w:pPr>
            <w:r w:rsidRPr="005E4903">
              <w:rPr>
                <w:rFonts w:ascii="Arial" w:hAnsi="Arial"/>
                <w:b/>
                <w:sz w:val="16"/>
                <w:szCs w:val="16"/>
              </w:rPr>
              <w:t>Risks to impact [and mitigation]</w:t>
            </w:r>
          </w:p>
        </w:tc>
        <w:tc>
          <w:tcPr>
            <w:tcW w:w="12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0C672" w14:textId="77777777" w:rsidR="005E4903" w:rsidRPr="005E4903" w:rsidRDefault="005E4903" w:rsidP="005E4903">
            <w:pPr>
              <w:rPr>
                <w:rFonts w:ascii="Arial" w:hAnsi="Arial"/>
                <w:sz w:val="16"/>
                <w:szCs w:val="16"/>
              </w:rPr>
            </w:pPr>
            <w:r w:rsidRPr="005E4903">
              <w:rPr>
                <w:rFonts w:ascii="Arial" w:eastAsia="ヒラギノ角ゴ Pro W3" w:hAnsi="Arial" w:cs="Arial"/>
                <w:b/>
                <w:bCs/>
                <w:sz w:val="16"/>
                <w:szCs w:val="16"/>
                <w:lang w:val="x-none" w:eastAsia="x-none"/>
              </w:rPr>
              <w:t>Who is responsible and what resources are needed?</w:t>
            </w:r>
          </w:p>
        </w:tc>
        <w:tc>
          <w:tcPr>
            <w:tcW w:w="99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39E559" w14:textId="77777777" w:rsidR="005E4903" w:rsidRPr="005E4903" w:rsidRDefault="005E4903" w:rsidP="005E4903">
            <w:pPr>
              <w:rPr>
                <w:rFonts w:ascii="Arial" w:hAnsi="Arial"/>
                <w:sz w:val="16"/>
                <w:szCs w:val="16"/>
              </w:rPr>
            </w:pPr>
            <w:r w:rsidRPr="005E4903">
              <w:rPr>
                <w:rFonts w:ascii="Arial" w:hAnsi="Arial"/>
                <w:b/>
                <w:sz w:val="16"/>
                <w:szCs w:val="16"/>
              </w:rPr>
              <w:t>Timing</w:t>
            </w:r>
          </w:p>
        </w:tc>
      </w:tr>
      <w:tr w:rsidR="005E4903" w:rsidRPr="005E4903" w14:paraId="5BAA46C6" w14:textId="77777777" w:rsidTr="00FE3C45">
        <w:tc>
          <w:tcPr>
            <w:tcW w:w="1560"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72CFEE19" w14:textId="77777777" w:rsidR="005E4903" w:rsidRPr="005E4903" w:rsidRDefault="005E4903" w:rsidP="005E4903">
            <w:pPr>
              <w:rPr>
                <w:rFonts w:ascii="Arial" w:hAnsi="Arial"/>
                <w:sz w:val="16"/>
                <w:szCs w:val="16"/>
              </w:rPr>
            </w:pPr>
            <w:r w:rsidRPr="005E4903">
              <w:rPr>
                <w:rFonts w:ascii="Arial" w:hAnsi="Arial"/>
                <w:b/>
                <w:sz w:val="16"/>
                <w:szCs w:val="16"/>
              </w:rPr>
              <w:t xml:space="preserve">1. </w:t>
            </w:r>
            <w:r w:rsidRPr="005E4903">
              <w:rPr>
                <w:rFonts w:ascii="Arial" w:hAnsi="Arial"/>
                <w:sz w:val="16"/>
                <w:szCs w:val="16"/>
              </w:rPr>
              <w:t>Provide evidence of ecosystem service tipping points in UK blanket peatlands that can help prioritise policy measures to prevent key tipping points being reached</w:t>
            </w:r>
          </w:p>
        </w:tc>
        <w:tc>
          <w:tcPr>
            <w:tcW w:w="1560" w:type="dxa"/>
            <w:tcBorders>
              <w:top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2DEE2BD8" w14:textId="77777777" w:rsidR="005E4903" w:rsidRPr="005E4903" w:rsidRDefault="005E4903" w:rsidP="005E4903">
            <w:pPr>
              <w:rPr>
                <w:rFonts w:ascii="Arial" w:hAnsi="Arial"/>
                <w:sz w:val="16"/>
                <w:szCs w:val="16"/>
              </w:rPr>
            </w:pPr>
            <w:r w:rsidRPr="005E4903">
              <w:rPr>
                <w:rFonts w:ascii="Arial" w:eastAsia="Calibri" w:hAnsi="Arial" w:cs="Calibri"/>
                <w:sz w:val="16"/>
                <w:szCs w:val="16"/>
              </w:rPr>
              <w:t>Policy including Defra, BEIS, the Devolved Administrations, agencies such as Natural England and Scottish Natural Heritage, Climate Change Adaptation Sub-Committee, Natural Capital Committee and Forestry Commission. The team has a strong working relationship with Defra's soils team and each of the relevant policy leads in the DAs.</w:t>
            </w:r>
          </w:p>
        </w:tc>
        <w:tc>
          <w:tcPr>
            <w:tcW w:w="1701" w:type="dxa"/>
            <w:tcBorders>
              <w:top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2514D390" w14:textId="77777777" w:rsidR="005E4903" w:rsidRPr="005E4903" w:rsidRDefault="005E4903" w:rsidP="005E4903">
            <w:pPr>
              <w:rPr>
                <w:rFonts w:ascii="Arial" w:hAnsi="Arial"/>
                <w:sz w:val="16"/>
                <w:szCs w:val="16"/>
              </w:rPr>
            </w:pPr>
            <w:r w:rsidRPr="005E4903">
              <w:rPr>
                <w:rFonts w:ascii="Arial" w:eastAsia="Calibri" w:hAnsi="Arial" w:cs="Calibri"/>
                <w:sz w:val="16"/>
                <w:szCs w:val="16"/>
              </w:rPr>
              <w:t>Practical restoration and other management options that could be incentivised via post-Brexit agricultural subsidy systems, Peatland Action (in Scotland) and the UK Peatland Code, and spatial targeting of incentives and measures to systems and locations where tipping points are most likely to occur</w:t>
            </w:r>
          </w:p>
        </w:tc>
        <w:tc>
          <w:tcPr>
            <w:tcW w:w="2126" w:type="dxa"/>
            <w:tcBorders>
              <w:top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2B0509D7" w14:textId="77777777" w:rsidR="005E4903" w:rsidRPr="005E4903" w:rsidRDefault="005E4903" w:rsidP="005E4903">
            <w:pPr>
              <w:rPr>
                <w:rFonts w:ascii="Arial" w:hAnsi="Arial"/>
                <w:sz w:val="16"/>
                <w:szCs w:val="16"/>
              </w:rPr>
            </w:pPr>
            <w:r w:rsidRPr="005E4903">
              <w:rPr>
                <w:rFonts w:ascii="Arial" w:hAnsi="Arial"/>
                <w:sz w:val="16"/>
                <w:szCs w:val="16"/>
              </w:rPr>
              <w:t>Government briefings/seminars in London, Edinburgh and Cardiff: DEFRA’s Rural  Communities Policy Unit, Ecosystem Services &amp; Strategic Issues team, and Strategy &amp; Evidence Group; Scottish Government’s Rural &amp; Environment Analytical Services team and CAMERAS group, the Wales Environment Hub, uplands teams in NE, Countryside Council for Wales and SNH  </w:t>
            </w:r>
          </w:p>
          <w:p w14:paraId="7B573E5D" w14:textId="77777777" w:rsidR="005E4903" w:rsidRPr="005E4903" w:rsidRDefault="005E4903" w:rsidP="005E4903">
            <w:pPr>
              <w:rPr>
                <w:rFonts w:ascii="Arial" w:hAnsi="Arial"/>
                <w:sz w:val="16"/>
                <w:szCs w:val="16"/>
              </w:rPr>
            </w:pPr>
            <w:r w:rsidRPr="005E4903">
              <w:rPr>
                <w:rFonts w:ascii="Arial" w:hAnsi="Arial"/>
                <w:sz w:val="16"/>
                <w:szCs w:val="16"/>
              </w:rPr>
              <w:t>Policy briefs and information leaflets developed in collaboration with project partners</w:t>
            </w:r>
          </w:p>
          <w:p w14:paraId="5D007E01" w14:textId="77777777" w:rsidR="005E4903" w:rsidRPr="005E4903" w:rsidRDefault="005E4903" w:rsidP="005E4903">
            <w:pPr>
              <w:rPr>
                <w:rFonts w:ascii="Arial" w:hAnsi="Arial"/>
                <w:sz w:val="16"/>
                <w:szCs w:val="16"/>
              </w:rPr>
            </w:pPr>
            <w:r w:rsidRPr="005E4903">
              <w:rPr>
                <w:rFonts w:ascii="Arial" w:hAnsi="Arial"/>
                <w:sz w:val="16"/>
                <w:szCs w:val="16"/>
              </w:rPr>
              <w:t>Regular meetings with relevant units within Defra and DAs</w:t>
            </w:r>
          </w:p>
        </w:tc>
        <w:tc>
          <w:tcPr>
            <w:tcW w:w="1417" w:type="dxa"/>
            <w:tcBorders>
              <w:top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76EECEE4" w14:textId="77777777" w:rsidR="005E4903" w:rsidRPr="005E4903" w:rsidRDefault="005E4903" w:rsidP="005E4903">
            <w:pPr>
              <w:rPr>
                <w:rFonts w:ascii="Arial" w:hAnsi="Arial"/>
                <w:sz w:val="16"/>
                <w:szCs w:val="16"/>
              </w:rPr>
            </w:pPr>
            <w:r w:rsidRPr="005E4903">
              <w:rPr>
                <w:rFonts w:ascii="Arial" w:hAnsi="Arial"/>
                <w:sz w:val="16"/>
                <w:szCs w:val="16"/>
              </w:rPr>
              <w:t>Regular invitations to well-attended briefings [number of invitations and attendance]</w:t>
            </w:r>
          </w:p>
          <w:p w14:paraId="4283FB90" w14:textId="77777777" w:rsidR="005E4903" w:rsidRPr="005E4903" w:rsidRDefault="005E4903" w:rsidP="005E4903">
            <w:pPr>
              <w:rPr>
                <w:rFonts w:ascii="Arial" w:hAnsi="Arial"/>
                <w:sz w:val="16"/>
                <w:szCs w:val="16"/>
              </w:rPr>
            </w:pPr>
            <w:r w:rsidRPr="005E4903">
              <w:rPr>
                <w:rFonts w:ascii="Arial" w:hAnsi="Arial"/>
                <w:sz w:val="16"/>
                <w:szCs w:val="16"/>
              </w:rPr>
              <w:t>Policy briefs produced and well received [personal feedback from target audience during meetings]</w:t>
            </w:r>
          </w:p>
        </w:tc>
        <w:tc>
          <w:tcPr>
            <w:tcW w:w="1418" w:type="dxa"/>
            <w:tcBorders>
              <w:top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5C568B2B" w14:textId="77777777" w:rsidR="005E4903" w:rsidRPr="005E4903" w:rsidRDefault="005E4903" w:rsidP="005E4903">
            <w:pPr>
              <w:rPr>
                <w:rFonts w:ascii="Arial" w:hAnsi="Arial"/>
                <w:sz w:val="16"/>
                <w:szCs w:val="16"/>
              </w:rPr>
            </w:pPr>
            <w:r w:rsidRPr="005E4903">
              <w:rPr>
                <w:rFonts w:ascii="Arial" w:hAnsi="Arial"/>
                <w:sz w:val="16"/>
                <w:szCs w:val="16"/>
              </w:rPr>
              <w:t>New measures introduced in post-Brexit agricultural policy based on VNP project findings [referenced policy documents &amp; testimonials]</w:t>
            </w:r>
          </w:p>
          <w:p w14:paraId="7F25D1E0" w14:textId="77777777" w:rsidR="005E4903" w:rsidRPr="005E4903" w:rsidRDefault="005E4903" w:rsidP="005E4903">
            <w:pPr>
              <w:rPr>
                <w:rFonts w:ascii="Arial" w:hAnsi="Arial"/>
                <w:sz w:val="16"/>
                <w:szCs w:val="16"/>
              </w:rPr>
            </w:pPr>
            <w:r w:rsidRPr="005E4903">
              <w:rPr>
                <w:rFonts w:ascii="Arial" w:hAnsi="Arial"/>
                <w:sz w:val="16"/>
                <w:szCs w:val="16"/>
              </w:rPr>
              <w:t>Implementation of new measures leading to new peatland restoration [hectares of peat restored under new policy options]</w:t>
            </w:r>
          </w:p>
          <w:p w14:paraId="68F175BC" w14:textId="77777777" w:rsidR="005E4903" w:rsidRPr="005E4903" w:rsidRDefault="005E4903" w:rsidP="005E4903">
            <w:pPr>
              <w:rPr>
                <w:rFonts w:ascii="Arial" w:hAnsi="Arial"/>
                <w:sz w:val="16"/>
                <w:szCs w:val="16"/>
              </w:rPr>
            </w:pPr>
          </w:p>
        </w:tc>
        <w:tc>
          <w:tcPr>
            <w:tcW w:w="1559" w:type="dxa"/>
            <w:tcBorders>
              <w:top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123E94C7" w14:textId="77777777" w:rsidR="005E4903" w:rsidRPr="005E4903" w:rsidRDefault="005E4903" w:rsidP="005E4903">
            <w:pPr>
              <w:rPr>
                <w:rFonts w:ascii="Arial" w:hAnsi="Arial"/>
                <w:sz w:val="16"/>
                <w:szCs w:val="16"/>
              </w:rPr>
            </w:pPr>
            <w:r w:rsidRPr="005E4903">
              <w:rPr>
                <w:rFonts w:ascii="Arial" w:hAnsi="Arial"/>
                <w:sz w:val="16"/>
                <w:szCs w:val="16"/>
              </w:rPr>
              <w:t>Limited interest due to specific peatland focus [link to broader issues of uplands and wider post-Brexit agricultural policy options that may be trial</w:t>
            </w:r>
            <w:r w:rsidR="002E2911">
              <w:rPr>
                <w:rFonts w:ascii="Arial" w:hAnsi="Arial"/>
                <w:sz w:val="16"/>
                <w:szCs w:val="16"/>
              </w:rPr>
              <w:t>l</w:t>
            </w:r>
            <w:r w:rsidRPr="005E4903">
              <w:rPr>
                <w:rFonts w:ascii="Arial" w:hAnsi="Arial"/>
                <w:sz w:val="16"/>
                <w:szCs w:val="16"/>
              </w:rPr>
              <w:t>ed in peatlands; maintain regular contact to identify new evidence needs as they arise that the project could contribute towards]</w:t>
            </w:r>
          </w:p>
        </w:tc>
        <w:tc>
          <w:tcPr>
            <w:tcW w:w="1418" w:type="dxa"/>
            <w:tcBorders>
              <w:top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05DE43DA" w14:textId="77777777" w:rsidR="005E4903" w:rsidRPr="005E4903" w:rsidRDefault="005E4903" w:rsidP="005E4903">
            <w:pPr>
              <w:rPr>
                <w:rFonts w:ascii="Arial" w:hAnsi="Arial"/>
                <w:sz w:val="16"/>
                <w:szCs w:val="16"/>
              </w:rPr>
            </w:pPr>
            <w:r w:rsidRPr="005E4903">
              <w:rPr>
                <w:rFonts w:ascii="Arial" w:hAnsi="Arial"/>
                <w:sz w:val="16"/>
                <w:szCs w:val="16"/>
              </w:rPr>
              <w:t>No clear evidence emerges from the project that would support specific options to avoid tipping points [continue work on broader policy options based on spatial targeting of payments for ecosystem services in parallel with new tipping points work]</w:t>
            </w:r>
          </w:p>
        </w:tc>
        <w:tc>
          <w:tcPr>
            <w:tcW w:w="1275" w:type="dxa"/>
            <w:tcBorders>
              <w:top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3ADDC675" w14:textId="77777777" w:rsidR="005E4903" w:rsidRPr="005E4903" w:rsidRDefault="005E4903" w:rsidP="005E4903">
            <w:pPr>
              <w:rPr>
                <w:rFonts w:ascii="Arial" w:hAnsi="Arial"/>
                <w:sz w:val="16"/>
                <w:szCs w:val="16"/>
              </w:rPr>
            </w:pPr>
            <w:r w:rsidRPr="005E4903">
              <w:rPr>
                <w:rFonts w:ascii="Arial" w:hAnsi="Arial"/>
                <w:sz w:val="16"/>
                <w:szCs w:val="16"/>
              </w:rPr>
              <w:t>Mark Reed supported by IUCN UK Peatland Programme staff, Dylan Young and interested team members</w:t>
            </w:r>
          </w:p>
          <w:p w14:paraId="69133C2F" w14:textId="77777777" w:rsidR="005E4903" w:rsidRPr="005E4903" w:rsidRDefault="005E4903" w:rsidP="005E4903">
            <w:pPr>
              <w:rPr>
                <w:rFonts w:ascii="Arial" w:hAnsi="Arial"/>
                <w:sz w:val="16"/>
                <w:szCs w:val="16"/>
              </w:rPr>
            </w:pPr>
          </w:p>
          <w:p w14:paraId="21F8D46E" w14:textId="77777777" w:rsidR="005E4903" w:rsidRPr="005E4903" w:rsidRDefault="005E4903" w:rsidP="005E4903">
            <w:pPr>
              <w:rPr>
                <w:rFonts w:ascii="Arial" w:hAnsi="Arial"/>
                <w:sz w:val="16"/>
                <w:szCs w:val="16"/>
              </w:rPr>
            </w:pPr>
            <w:r w:rsidRPr="005E4903">
              <w:rPr>
                <w:rFonts w:ascii="Arial" w:hAnsi="Arial"/>
                <w:sz w:val="16"/>
                <w:szCs w:val="16"/>
              </w:rPr>
              <w:t>Additional support from N8 AgriFood KE Fellows via VNP policy placements with Defra and Scottish Government</w:t>
            </w:r>
          </w:p>
        </w:tc>
        <w:tc>
          <w:tcPr>
            <w:tcW w:w="993" w:type="dxa"/>
            <w:tcBorders>
              <w:top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61FA5561" w14:textId="77777777" w:rsidR="005E4903" w:rsidRPr="005E4903" w:rsidRDefault="005E4903" w:rsidP="005E4903">
            <w:pPr>
              <w:rPr>
                <w:rFonts w:ascii="Arial" w:hAnsi="Arial"/>
                <w:sz w:val="16"/>
                <w:szCs w:val="16"/>
              </w:rPr>
            </w:pPr>
            <w:r w:rsidRPr="005E4903">
              <w:rPr>
                <w:rFonts w:ascii="Arial" w:hAnsi="Arial"/>
                <w:sz w:val="16"/>
                <w:szCs w:val="16"/>
              </w:rPr>
              <w:t>Target post 2020 agricultural &amp; rural development policy via inputs to 25-year plans, DA plans and policies in 2017</w:t>
            </w:r>
          </w:p>
        </w:tc>
      </w:tr>
    </w:tbl>
    <w:p w14:paraId="2E6A0048" w14:textId="77777777" w:rsidR="005E4903" w:rsidRDefault="005E4903" w:rsidP="005E4903">
      <w:r>
        <w:br w:type="page"/>
      </w:r>
    </w:p>
    <w:tbl>
      <w:tblPr>
        <w:tblW w:w="15278" w:type="dxa"/>
        <w:tblInd w:w="-7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20" w:firstRow="1" w:lastRow="0" w:firstColumn="0" w:lastColumn="0" w:noHBand="1" w:noVBand="1"/>
      </w:tblPr>
      <w:tblGrid>
        <w:gridCol w:w="2145"/>
        <w:gridCol w:w="1620"/>
        <w:gridCol w:w="1860"/>
        <w:gridCol w:w="1764"/>
        <w:gridCol w:w="1371"/>
        <w:gridCol w:w="1335"/>
        <w:gridCol w:w="1440"/>
        <w:gridCol w:w="1290"/>
        <w:gridCol w:w="1319"/>
        <w:gridCol w:w="1134"/>
      </w:tblGrid>
      <w:tr w:rsidR="005E4903" w:rsidRPr="00FE3C45" w14:paraId="0F45AD65" w14:textId="77777777" w:rsidTr="00FE3C45">
        <w:tc>
          <w:tcPr>
            <w:tcW w:w="21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9A8A4" w14:textId="77777777" w:rsidR="005E4903" w:rsidRPr="00FE3C45" w:rsidRDefault="005E4903" w:rsidP="005E4903">
            <w:pPr>
              <w:rPr>
                <w:rFonts w:ascii="Arial" w:hAnsi="Arial"/>
                <w:sz w:val="16"/>
                <w:szCs w:val="16"/>
              </w:rPr>
            </w:pPr>
            <w:r w:rsidRPr="00FE3C45">
              <w:rPr>
                <w:rFonts w:ascii="Arial" w:hAnsi="Arial"/>
                <w:b/>
                <w:sz w:val="16"/>
                <w:szCs w:val="16"/>
              </w:rPr>
              <w:t>2.</w:t>
            </w:r>
            <w:r w:rsidRPr="00FE3C45">
              <w:rPr>
                <w:rFonts w:ascii="Arial" w:hAnsi="Arial"/>
                <w:sz w:val="16"/>
                <w:szCs w:val="16"/>
              </w:rPr>
              <w:t xml:space="preserve"> Provide evidence that could be used to inform an economic case for investment in peatland restoration </w:t>
            </w:r>
          </w:p>
        </w:tc>
        <w:tc>
          <w:tcPr>
            <w:tcW w:w="162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E7774B" w14:textId="77777777" w:rsidR="005E4903" w:rsidRPr="00FE3C45" w:rsidRDefault="005E4903" w:rsidP="005E4903">
            <w:pPr>
              <w:rPr>
                <w:rFonts w:ascii="Arial" w:hAnsi="Arial"/>
                <w:sz w:val="16"/>
                <w:szCs w:val="16"/>
              </w:rPr>
            </w:pPr>
            <w:r w:rsidRPr="00FE3C45">
              <w:rPr>
                <w:rFonts w:ascii="Arial" w:hAnsi="Arial"/>
                <w:sz w:val="16"/>
                <w:szCs w:val="16"/>
              </w:rPr>
              <w:t>Policy community (see above) and business community (based on market research) via IUCN UK Peatland Programme</w:t>
            </w:r>
          </w:p>
        </w:tc>
        <w:tc>
          <w:tcPr>
            <w:tcW w:w="186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D8384F" w14:textId="77777777" w:rsidR="005E4903" w:rsidRPr="00FE3C45" w:rsidRDefault="005E4903" w:rsidP="005E4903">
            <w:pPr>
              <w:rPr>
                <w:rFonts w:ascii="Arial" w:hAnsi="Arial"/>
                <w:sz w:val="16"/>
                <w:szCs w:val="16"/>
              </w:rPr>
            </w:pPr>
            <w:r w:rsidRPr="00FE3C45">
              <w:rPr>
                <w:rFonts w:ascii="Arial" w:hAnsi="Arial"/>
                <w:sz w:val="16"/>
                <w:szCs w:val="16"/>
              </w:rPr>
              <w:t>Evidence that peatland restoration may help avoid future economic costs and social impacts</w:t>
            </w:r>
          </w:p>
          <w:p w14:paraId="4BF51427" w14:textId="77777777" w:rsidR="005E4903" w:rsidRPr="00FE3C45" w:rsidRDefault="005E4903" w:rsidP="005E4903">
            <w:pPr>
              <w:rPr>
                <w:rFonts w:ascii="Arial" w:hAnsi="Arial"/>
                <w:sz w:val="16"/>
                <w:szCs w:val="16"/>
              </w:rPr>
            </w:pPr>
            <w:r w:rsidRPr="00FE3C45">
              <w:rPr>
                <w:rFonts w:ascii="Arial" w:hAnsi="Arial"/>
                <w:sz w:val="16"/>
                <w:szCs w:val="16"/>
              </w:rPr>
              <w:t>Evidence that restoration may delay and/or avoid tipping points for multiple ecosystem services, which can continue providing benefits to UK society</w:t>
            </w:r>
          </w:p>
        </w:tc>
        <w:tc>
          <w:tcPr>
            <w:tcW w:w="1764"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12F3C3" w14:textId="77777777" w:rsidR="005E4903" w:rsidRPr="00FE3C45" w:rsidRDefault="005E4903" w:rsidP="005E4903">
            <w:pPr>
              <w:rPr>
                <w:rFonts w:ascii="Arial" w:hAnsi="Arial"/>
                <w:sz w:val="16"/>
                <w:szCs w:val="16"/>
              </w:rPr>
            </w:pPr>
            <w:r w:rsidRPr="00FE3C45">
              <w:rPr>
                <w:rFonts w:ascii="Arial" w:hAnsi="Arial"/>
                <w:sz w:val="16"/>
                <w:szCs w:val="16"/>
              </w:rPr>
              <w:t>As above for policy community, with focus on finalizing a UK Peatland Strategy and further mainstreaming a</w:t>
            </w:r>
            <w:r w:rsidR="00FE3C45">
              <w:rPr>
                <w:rFonts w:ascii="Arial" w:hAnsi="Arial"/>
                <w:sz w:val="16"/>
                <w:szCs w:val="16"/>
              </w:rPr>
              <w:t>nd supporting the Peatland Code</w:t>
            </w:r>
          </w:p>
          <w:p w14:paraId="361E4047" w14:textId="77777777" w:rsidR="005E4903" w:rsidRPr="00FE3C45" w:rsidRDefault="005E4903" w:rsidP="005E4903">
            <w:pPr>
              <w:rPr>
                <w:rFonts w:ascii="Arial" w:hAnsi="Arial"/>
                <w:sz w:val="16"/>
                <w:szCs w:val="16"/>
              </w:rPr>
            </w:pPr>
            <w:r w:rsidRPr="00FE3C45">
              <w:rPr>
                <w:rFonts w:ascii="Arial" w:hAnsi="Arial"/>
                <w:sz w:val="16"/>
                <w:szCs w:val="16"/>
              </w:rPr>
              <w:t>High level business meetings brokered by IUCN UK Peatland Programme to secure private investment via Peatland Code</w:t>
            </w:r>
          </w:p>
        </w:tc>
        <w:tc>
          <w:tcPr>
            <w:tcW w:w="1371"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94C5B9" w14:textId="77777777" w:rsidR="005E4903" w:rsidRPr="00FE3C45" w:rsidRDefault="005E4903" w:rsidP="005E4903">
            <w:pPr>
              <w:rPr>
                <w:rFonts w:ascii="Arial" w:hAnsi="Arial"/>
                <w:sz w:val="16"/>
                <w:szCs w:val="16"/>
              </w:rPr>
            </w:pPr>
            <w:r w:rsidRPr="00FE3C45">
              <w:rPr>
                <w:rFonts w:ascii="Arial" w:hAnsi="Arial"/>
                <w:sz w:val="16"/>
                <w:szCs w:val="16"/>
              </w:rPr>
              <w:t>Peatland Code mentioned in Defra 25-year plan for environment and DA policies and plans, increasing integration between PES schemes at UK level [citations in policy documents]</w:t>
            </w:r>
          </w:p>
          <w:p w14:paraId="0372338F" w14:textId="77777777" w:rsidR="005E4903" w:rsidRPr="00FE3C45" w:rsidRDefault="005E4903" w:rsidP="005E4903">
            <w:pPr>
              <w:rPr>
                <w:rFonts w:ascii="Arial" w:hAnsi="Arial"/>
                <w:sz w:val="16"/>
                <w:szCs w:val="16"/>
              </w:rPr>
            </w:pPr>
          </w:p>
        </w:tc>
        <w:tc>
          <w:tcPr>
            <w:tcW w:w="133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0B743" w14:textId="77777777" w:rsidR="005E4903" w:rsidRPr="00FE3C45" w:rsidRDefault="005E4903" w:rsidP="005E4903">
            <w:pPr>
              <w:rPr>
                <w:rFonts w:ascii="Arial" w:hAnsi="Arial"/>
                <w:sz w:val="16"/>
                <w:szCs w:val="16"/>
              </w:rPr>
            </w:pPr>
            <w:r w:rsidRPr="00FE3C45">
              <w:rPr>
                <w:rFonts w:ascii="Arial" w:hAnsi="Arial"/>
                <w:sz w:val="16"/>
                <w:szCs w:val="16"/>
              </w:rPr>
              <w:t>As above</w:t>
            </w:r>
          </w:p>
        </w:tc>
        <w:tc>
          <w:tcPr>
            <w:tcW w:w="144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F355AA" w14:textId="77777777" w:rsidR="005E4903" w:rsidRPr="00FE3C45" w:rsidRDefault="005E4903" w:rsidP="005E4903">
            <w:pPr>
              <w:rPr>
                <w:rFonts w:ascii="Arial" w:hAnsi="Arial"/>
                <w:sz w:val="16"/>
                <w:szCs w:val="16"/>
              </w:rPr>
            </w:pPr>
            <w:r w:rsidRPr="00FE3C45">
              <w:rPr>
                <w:rFonts w:ascii="Arial" w:hAnsi="Arial"/>
                <w:sz w:val="16"/>
                <w:szCs w:val="16"/>
              </w:rPr>
              <w:t>As above</w:t>
            </w:r>
          </w:p>
        </w:tc>
        <w:tc>
          <w:tcPr>
            <w:tcW w:w="129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2A29D0" w14:textId="77777777" w:rsidR="005E4903" w:rsidRPr="00FE3C45" w:rsidRDefault="005E4903" w:rsidP="005E4903">
            <w:pPr>
              <w:rPr>
                <w:rFonts w:ascii="Arial" w:hAnsi="Arial"/>
                <w:sz w:val="16"/>
                <w:szCs w:val="16"/>
              </w:rPr>
            </w:pPr>
            <w:r w:rsidRPr="00FE3C45">
              <w:rPr>
                <w:rFonts w:ascii="Arial" w:hAnsi="Arial"/>
                <w:sz w:val="16"/>
                <w:szCs w:val="16"/>
              </w:rPr>
              <w:t>As above</w:t>
            </w:r>
          </w:p>
        </w:tc>
        <w:tc>
          <w:tcPr>
            <w:tcW w:w="131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2B5E0" w14:textId="77777777" w:rsidR="005E4903" w:rsidRPr="00FE3C45" w:rsidRDefault="005E4903" w:rsidP="005E4903">
            <w:pPr>
              <w:rPr>
                <w:rFonts w:ascii="Arial" w:hAnsi="Arial"/>
                <w:sz w:val="16"/>
                <w:szCs w:val="16"/>
              </w:rPr>
            </w:pPr>
            <w:r w:rsidRPr="00FE3C45">
              <w:rPr>
                <w:rFonts w:ascii="Arial" w:hAnsi="Arial"/>
                <w:sz w:val="16"/>
                <w:szCs w:val="16"/>
              </w:rPr>
              <w:t>As above</w:t>
            </w:r>
          </w:p>
        </w:tc>
        <w:tc>
          <w:tcPr>
            <w:tcW w:w="1134"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583DBF" w14:textId="77777777" w:rsidR="005E4903" w:rsidRPr="00FE3C45" w:rsidRDefault="005E4903" w:rsidP="005E4903">
            <w:pPr>
              <w:rPr>
                <w:rFonts w:ascii="Arial" w:hAnsi="Arial"/>
                <w:sz w:val="16"/>
                <w:szCs w:val="16"/>
              </w:rPr>
            </w:pPr>
            <w:r w:rsidRPr="00FE3C45">
              <w:rPr>
                <w:rFonts w:ascii="Arial" w:hAnsi="Arial"/>
                <w:sz w:val="16"/>
                <w:szCs w:val="16"/>
              </w:rPr>
              <w:t xml:space="preserve">As above for policy community and </w:t>
            </w:r>
            <w:proofErr w:type="spellStart"/>
            <w:r w:rsidRPr="00FE3C45">
              <w:rPr>
                <w:rFonts w:ascii="Arial" w:hAnsi="Arial"/>
                <w:sz w:val="16"/>
                <w:szCs w:val="16"/>
              </w:rPr>
              <w:t>ongoing</w:t>
            </w:r>
            <w:proofErr w:type="spellEnd"/>
            <w:r w:rsidRPr="00FE3C45">
              <w:rPr>
                <w:rFonts w:ascii="Arial" w:hAnsi="Arial"/>
                <w:sz w:val="16"/>
                <w:szCs w:val="16"/>
              </w:rPr>
              <w:t xml:space="preserve"> via IUCN for business community</w:t>
            </w:r>
          </w:p>
        </w:tc>
      </w:tr>
      <w:tr w:rsidR="005E4903" w:rsidRPr="00FE3C45" w14:paraId="27406DB7" w14:textId="77777777" w:rsidTr="00FE3C45">
        <w:trPr>
          <w:trHeight w:val="2285"/>
        </w:trPr>
        <w:tc>
          <w:tcPr>
            <w:tcW w:w="2145"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7F19A978" w14:textId="77777777" w:rsidR="005E4903" w:rsidRPr="00FE3C45" w:rsidRDefault="005E4903" w:rsidP="005E4903">
            <w:pPr>
              <w:rPr>
                <w:rFonts w:ascii="Arial" w:hAnsi="Arial"/>
                <w:sz w:val="16"/>
                <w:szCs w:val="16"/>
              </w:rPr>
            </w:pPr>
            <w:r w:rsidRPr="00FE3C45">
              <w:rPr>
                <w:rFonts w:ascii="Arial" w:hAnsi="Arial"/>
                <w:sz w:val="16"/>
                <w:szCs w:val="16"/>
              </w:rPr>
              <w:t>3. Provide policy-makers, third sector organisations and practitioners with early warning indicators that can be easily and effectively used to identify and avoid imminent tipping points </w:t>
            </w:r>
          </w:p>
        </w:tc>
        <w:tc>
          <w:tcPr>
            <w:tcW w:w="1620" w:type="dxa"/>
            <w:tcBorders>
              <w:top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16876020" w14:textId="77777777" w:rsidR="005E4903" w:rsidRPr="00FE3C45" w:rsidRDefault="005E4903" w:rsidP="005E4903">
            <w:pPr>
              <w:rPr>
                <w:rFonts w:ascii="Arial" w:hAnsi="Arial"/>
                <w:sz w:val="16"/>
                <w:szCs w:val="16"/>
              </w:rPr>
            </w:pPr>
            <w:r w:rsidRPr="00FE3C45">
              <w:rPr>
                <w:rFonts w:ascii="Arial" w:hAnsi="Arial"/>
                <w:sz w:val="16"/>
                <w:szCs w:val="16"/>
              </w:rPr>
              <w:t xml:space="preserve">Policy community (as above), third sector organisations (primarily focusing on national level </w:t>
            </w:r>
            <w:proofErr w:type="spellStart"/>
            <w:r w:rsidRPr="00FE3C45">
              <w:rPr>
                <w:rFonts w:ascii="Arial" w:hAnsi="Arial"/>
                <w:sz w:val="16"/>
                <w:szCs w:val="16"/>
              </w:rPr>
              <w:t>represenaties</w:t>
            </w:r>
            <w:proofErr w:type="spellEnd"/>
            <w:r w:rsidRPr="00FE3C45">
              <w:rPr>
                <w:rFonts w:ascii="Arial" w:hAnsi="Arial"/>
                <w:sz w:val="16"/>
                <w:szCs w:val="16"/>
              </w:rPr>
              <w:t xml:space="preserve"> from IUCN, RSPB, National Trust, Wildlife Trusts, John Muir Trust and </w:t>
            </w:r>
            <w:proofErr w:type="spellStart"/>
            <w:r w:rsidRPr="00FE3C45">
              <w:rPr>
                <w:rFonts w:ascii="Arial" w:hAnsi="Arial"/>
                <w:sz w:val="16"/>
                <w:szCs w:val="16"/>
              </w:rPr>
              <w:t>Plantlife</w:t>
            </w:r>
            <w:proofErr w:type="spellEnd"/>
            <w:r w:rsidRPr="00FE3C45">
              <w:rPr>
                <w:rFonts w:ascii="Arial" w:hAnsi="Arial"/>
                <w:sz w:val="16"/>
                <w:szCs w:val="16"/>
              </w:rPr>
              <w:t xml:space="preserve">) and practitioner organisations (e.g. Moorland Association, Moor-land Forum </w:t>
            </w:r>
            <w:proofErr w:type="spellStart"/>
            <w:r w:rsidRPr="00FE3C45">
              <w:rPr>
                <w:rFonts w:ascii="Arial" w:hAnsi="Arial"/>
                <w:sz w:val="16"/>
                <w:szCs w:val="16"/>
              </w:rPr>
              <w:t>etc</w:t>
            </w:r>
            <w:proofErr w:type="spellEnd"/>
            <w:r w:rsidRPr="00FE3C45">
              <w:rPr>
                <w:rFonts w:ascii="Arial" w:hAnsi="Arial"/>
                <w:sz w:val="16"/>
                <w:szCs w:val="16"/>
              </w:rPr>
              <w:t>)</w:t>
            </w:r>
          </w:p>
        </w:tc>
        <w:tc>
          <w:tcPr>
            <w:tcW w:w="1860" w:type="dxa"/>
            <w:tcBorders>
              <w:top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627F6518" w14:textId="77777777" w:rsidR="005E4903" w:rsidRPr="00FE3C45" w:rsidRDefault="005E4903" w:rsidP="005E4903">
            <w:pPr>
              <w:rPr>
                <w:rFonts w:ascii="Arial" w:hAnsi="Arial"/>
                <w:sz w:val="16"/>
                <w:szCs w:val="16"/>
              </w:rPr>
            </w:pPr>
            <w:r w:rsidRPr="00FE3C45">
              <w:rPr>
                <w:rFonts w:ascii="Arial" w:hAnsi="Arial"/>
                <w:sz w:val="16"/>
                <w:szCs w:val="16"/>
              </w:rPr>
              <w:t>There are cost-effective, easy to use indicators that can be integrated into the UK Peatland Strategy to guide future policy responses to further degradation and avoid tipping points</w:t>
            </w:r>
          </w:p>
        </w:tc>
        <w:tc>
          <w:tcPr>
            <w:tcW w:w="1764"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4C562FC5" w14:textId="77777777" w:rsidR="005E4903" w:rsidRPr="00FE3C45" w:rsidRDefault="005E4903" w:rsidP="005E4903">
            <w:pPr>
              <w:rPr>
                <w:rFonts w:ascii="Arial" w:hAnsi="Arial"/>
                <w:sz w:val="16"/>
                <w:szCs w:val="16"/>
              </w:rPr>
            </w:pPr>
            <w:r w:rsidRPr="00FE3C45">
              <w:rPr>
                <w:rFonts w:ascii="Arial" w:hAnsi="Arial"/>
                <w:sz w:val="16"/>
                <w:szCs w:val="16"/>
              </w:rPr>
              <w:t>Integration of early warning indicators into UK Peat</w:t>
            </w:r>
            <w:r w:rsidR="00FE3C45">
              <w:rPr>
                <w:rFonts w:ascii="Arial" w:hAnsi="Arial"/>
                <w:sz w:val="16"/>
                <w:szCs w:val="16"/>
              </w:rPr>
              <w:t>land Strategy and Peatland Code</w:t>
            </w:r>
          </w:p>
          <w:p w14:paraId="2173818B" w14:textId="77777777" w:rsidR="005E4903" w:rsidRPr="00FE3C45" w:rsidRDefault="005E4903" w:rsidP="005E4903">
            <w:pPr>
              <w:rPr>
                <w:rFonts w:ascii="Arial" w:hAnsi="Arial"/>
                <w:sz w:val="16"/>
                <w:szCs w:val="16"/>
              </w:rPr>
            </w:pPr>
            <w:r w:rsidRPr="00FE3C45">
              <w:rPr>
                <w:rFonts w:ascii="Arial" w:hAnsi="Arial"/>
                <w:sz w:val="16"/>
                <w:szCs w:val="16"/>
              </w:rPr>
              <w:t>Raise awareness and train in use of indicators via briefing notes and guidance for third sector organisations and practitioners</w:t>
            </w:r>
          </w:p>
          <w:p w14:paraId="673D7754" w14:textId="77777777" w:rsidR="005E4903" w:rsidRPr="00FE3C45" w:rsidRDefault="005E4903" w:rsidP="005E4903">
            <w:pPr>
              <w:rPr>
                <w:rFonts w:ascii="Arial" w:hAnsi="Arial"/>
                <w:sz w:val="16"/>
                <w:szCs w:val="16"/>
              </w:rPr>
            </w:pPr>
          </w:p>
          <w:p w14:paraId="3C17B672" w14:textId="77777777" w:rsidR="005E4903" w:rsidRPr="00FE3C45" w:rsidRDefault="005E4903" w:rsidP="005E4903">
            <w:pPr>
              <w:rPr>
                <w:rFonts w:ascii="Arial" w:hAnsi="Arial"/>
                <w:sz w:val="16"/>
                <w:szCs w:val="16"/>
              </w:rPr>
            </w:pPr>
          </w:p>
        </w:tc>
        <w:tc>
          <w:tcPr>
            <w:tcW w:w="1371"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74BF0096" w14:textId="77777777" w:rsidR="005E4903" w:rsidRPr="00FE3C45" w:rsidRDefault="005E4903" w:rsidP="005E4903">
            <w:pPr>
              <w:rPr>
                <w:rFonts w:ascii="Arial" w:hAnsi="Arial"/>
                <w:sz w:val="16"/>
                <w:szCs w:val="16"/>
              </w:rPr>
            </w:pPr>
            <w:r w:rsidRPr="00FE3C45">
              <w:rPr>
                <w:rFonts w:ascii="Arial" w:hAnsi="Arial"/>
                <w:sz w:val="16"/>
                <w:szCs w:val="16"/>
              </w:rPr>
              <w:t>Indicators included in UK Peatland Strategy or guidance notes [citations in pol</w:t>
            </w:r>
            <w:r w:rsidR="00FE3C45">
              <w:rPr>
                <w:rFonts w:ascii="Arial" w:hAnsi="Arial"/>
                <w:sz w:val="16"/>
                <w:szCs w:val="16"/>
              </w:rPr>
              <w:t>icy docs]</w:t>
            </w:r>
          </w:p>
          <w:p w14:paraId="5E867E24" w14:textId="77777777" w:rsidR="005E4903" w:rsidRPr="00FE3C45" w:rsidRDefault="005E4903" w:rsidP="005E4903">
            <w:pPr>
              <w:rPr>
                <w:rFonts w:ascii="Arial" w:hAnsi="Arial"/>
                <w:sz w:val="16"/>
                <w:szCs w:val="16"/>
              </w:rPr>
            </w:pPr>
            <w:r w:rsidRPr="00FE3C45">
              <w:rPr>
                <w:rFonts w:ascii="Arial" w:hAnsi="Arial"/>
                <w:sz w:val="16"/>
                <w:szCs w:val="16"/>
              </w:rPr>
              <w:t>Decision-makers from policy/practice at national and regional scales use indicators [evidence of indicator use in Peatland Code project documents]</w:t>
            </w:r>
          </w:p>
        </w:tc>
        <w:tc>
          <w:tcPr>
            <w:tcW w:w="1335"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68A20A76" w14:textId="77777777" w:rsidR="005E4903" w:rsidRPr="00FE3C45" w:rsidRDefault="005E4903" w:rsidP="005E4903">
            <w:pPr>
              <w:rPr>
                <w:rFonts w:ascii="Arial" w:hAnsi="Arial"/>
                <w:sz w:val="16"/>
                <w:szCs w:val="16"/>
              </w:rPr>
            </w:pPr>
            <w:r w:rsidRPr="00FE3C45">
              <w:rPr>
                <w:rFonts w:ascii="Arial" w:hAnsi="Arial"/>
                <w:sz w:val="16"/>
                <w:szCs w:val="16"/>
              </w:rPr>
              <w:t>Sites most at risk from tipping points are prioritized for publicly funded restoration to reduce or delay negative impacts [mechanisms for prioritizing public funding for restoration to avoid tipping points in Peatland Strategy)</w:t>
            </w:r>
          </w:p>
        </w:tc>
        <w:tc>
          <w:tcPr>
            <w:tcW w:w="1440"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2B783379" w14:textId="77777777" w:rsidR="005E4903" w:rsidRPr="00FE3C45" w:rsidRDefault="005E4903" w:rsidP="005E4903">
            <w:pPr>
              <w:rPr>
                <w:rFonts w:ascii="Arial" w:hAnsi="Arial"/>
                <w:sz w:val="16"/>
                <w:szCs w:val="16"/>
              </w:rPr>
            </w:pPr>
            <w:r w:rsidRPr="00FE3C45">
              <w:rPr>
                <w:rFonts w:ascii="Arial" w:hAnsi="Arial"/>
                <w:sz w:val="16"/>
                <w:szCs w:val="16"/>
              </w:rPr>
              <w:t>Indicators are too time-consuming, complex or costly to be used in Peatland Code projects [use indicators to prioritize public funding for restoration without integration with Peatland Code]</w:t>
            </w:r>
          </w:p>
        </w:tc>
        <w:tc>
          <w:tcPr>
            <w:tcW w:w="1290"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3D5B844C" w14:textId="77777777" w:rsidR="005E4903" w:rsidRPr="00FE3C45" w:rsidRDefault="005E4903" w:rsidP="005E4903">
            <w:pPr>
              <w:rPr>
                <w:rFonts w:ascii="Arial" w:hAnsi="Arial"/>
                <w:sz w:val="16"/>
                <w:szCs w:val="16"/>
              </w:rPr>
            </w:pPr>
            <w:r w:rsidRPr="00FE3C45">
              <w:rPr>
                <w:rFonts w:ascii="Arial" w:hAnsi="Arial"/>
                <w:sz w:val="16"/>
                <w:szCs w:val="16"/>
              </w:rPr>
              <w:t>Indicators do not accurately detect future tipping points in the field [provide guidance on their use to ensure clear and replicable monitoring protocols, including sensitivity to seasons and other confounding factors)</w:t>
            </w:r>
          </w:p>
        </w:tc>
        <w:tc>
          <w:tcPr>
            <w:tcW w:w="1319" w:type="dxa"/>
            <w:tcBorders>
              <w:top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7AEF1B31" w14:textId="77777777" w:rsidR="005E4903" w:rsidRPr="00FE3C45" w:rsidRDefault="005E4903" w:rsidP="005E4903">
            <w:pPr>
              <w:rPr>
                <w:rFonts w:ascii="Arial" w:hAnsi="Arial"/>
                <w:sz w:val="16"/>
                <w:szCs w:val="16"/>
              </w:rPr>
            </w:pPr>
            <w:r w:rsidRPr="00FE3C45">
              <w:rPr>
                <w:rFonts w:ascii="Arial" w:hAnsi="Arial"/>
                <w:sz w:val="16"/>
                <w:szCs w:val="16"/>
              </w:rPr>
              <w:t xml:space="preserve">Additional resources for ecological fieldwork secured by Mark </w:t>
            </w:r>
            <w:proofErr w:type="spellStart"/>
            <w:r w:rsidRPr="00FE3C45">
              <w:rPr>
                <w:rFonts w:ascii="Arial" w:hAnsi="Arial"/>
                <w:sz w:val="16"/>
                <w:szCs w:val="16"/>
              </w:rPr>
              <w:t>Whittingham</w:t>
            </w:r>
            <w:proofErr w:type="spellEnd"/>
            <w:r w:rsidRPr="00FE3C45">
              <w:rPr>
                <w:rFonts w:ascii="Arial" w:hAnsi="Arial"/>
                <w:sz w:val="16"/>
                <w:szCs w:val="16"/>
              </w:rPr>
              <w:t xml:space="preserve"> to generate robust indicators via an additional PDRA and MSc students</w:t>
            </w:r>
          </w:p>
        </w:tc>
        <w:tc>
          <w:tcPr>
            <w:tcW w:w="1134"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41F320DC" w14:textId="77777777" w:rsidR="005E4903" w:rsidRPr="00FE3C45" w:rsidRDefault="005E4903" w:rsidP="005E4903">
            <w:pPr>
              <w:rPr>
                <w:rFonts w:ascii="Arial" w:hAnsi="Arial"/>
                <w:sz w:val="16"/>
                <w:szCs w:val="16"/>
              </w:rPr>
            </w:pPr>
            <w:r w:rsidRPr="00FE3C45">
              <w:rPr>
                <w:rFonts w:ascii="Arial" w:hAnsi="Arial"/>
                <w:sz w:val="16"/>
                <w:szCs w:val="16"/>
              </w:rPr>
              <w:t>Ecological fieldwork taking place in spring and summer 2017</w:t>
            </w:r>
          </w:p>
        </w:tc>
      </w:tr>
    </w:tbl>
    <w:p w14:paraId="6DBDDE7E" w14:textId="77777777" w:rsidR="005E4903" w:rsidRDefault="005E4903"/>
    <w:sectPr w:rsidR="005E4903" w:rsidSect="00EE4424">
      <w:pgSz w:w="16840" w:h="1190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venir Light">
    <w:panose1 w:val="020B0402020203020204"/>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B33C1"/>
    <w:multiLevelType w:val="hybridMultilevel"/>
    <w:tmpl w:val="B978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424"/>
    <w:rsid w:val="002E2911"/>
    <w:rsid w:val="005E4903"/>
    <w:rsid w:val="0067244C"/>
    <w:rsid w:val="007101C7"/>
    <w:rsid w:val="00780660"/>
    <w:rsid w:val="00814531"/>
    <w:rsid w:val="00EE4424"/>
    <w:rsid w:val="00FE3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CEC7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424"/>
    <w:pPr>
      <w:spacing w:after="200" w:line="276" w:lineRule="auto"/>
    </w:pPr>
    <w:rPr>
      <w:rFonts w:ascii="Calibri" w:eastAsia="Times New Roman" w:hAnsi="Calibri" w:cs="Times New Roman"/>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424"/>
    <w:pPr>
      <w:ind w:left="720"/>
      <w:contextualSpacing/>
    </w:pPr>
  </w:style>
  <w:style w:type="table" w:styleId="TableGrid">
    <w:name w:val="Table Grid"/>
    <w:basedOn w:val="TableNormal"/>
    <w:uiPriority w:val="59"/>
    <w:rsid w:val="00EE4424"/>
    <w:rPr>
      <w:rFonts w:ascii="Calibri" w:eastAsia="Times New Roman"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29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2911"/>
    <w:rPr>
      <w:rFonts w:ascii="Lucida Grande" w:eastAsia="Times New Roman"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424"/>
    <w:pPr>
      <w:spacing w:after="200" w:line="276" w:lineRule="auto"/>
    </w:pPr>
    <w:rPr>
      <w:rFonts w:ascii="Calibri" w:eastAsia="Times New Roman" w:hAnsi="Calibri" w:cs="Times New Roman"/>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424"/>
    <w:pPr>
      <w:ind w:left="720"/>
      <w:contextualSpacing/>
    </w:pPr>
  </w:style>
  <w:style w:type="table" w:styleId="TableGrid">
    <w:name w:val="Table Grid"/>
    <w:basedOn w:val="TableNormal"/>
    <w:uiPriority w:val="59"/>
    <w:rsid w:val="00EE4424"/>
    <w:rPr>
      <w:rFonts w:ascii="Calibri" w:eastAsia="Times New Roman"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29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2911"/>
    <w:rPr>
      <w:rFonts w:ascii="Lucida Grande" w:eastAsia="Times New Roman"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952</Words>
  <Characters>5430</Characters>
  <Application>Microsoft Macintosh Word</Application>
  <DocSecurity>0</DocSecurity>
  <Lines>45</Lines>
  <Paragraphs>12</Paragraphs>
  <ScaleCrop>false</ScaleCrop>
  <Company>Birmingham City University</Company>
  <LinksUpToDate>false</LinksUpToDate>
  <CharactersWithSpaces>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Reed</dc:creator>
  <cp:keywords/>
  <dc:description/>
  <cp:lastModifiedBy>Mark Reed</cp:lastModifiedBy>
  <cp:revision>3</cp:revision>
  <cp:lastPrinted>2017-03-23T20:18:00Z</cp:lastPrinted>
  <dcterms:created xsi:type="dcterms:W3CDTF">2017-03-23T20:18:00Z</dcterms:created>
  <dcterms:modified xsi:type="dcterms:W3CDTF">2017-03-23T20:19:00Z</dcterms:modified>
</cp:coreProperties>
</file>